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DE" w:rsidRPr="002E37DE" w:rsidRDefault="002E37DE" w:rsidP="002E37DE">
      <w:pPr>
        <w:spacing w:after="120"/>
        <w:jc w:val="center"/>
        <w:rPr>
          <w:b/>
          <w:bCs/>
          <w:sz w:val="24"/>
          <w:lang w:val="en-GB"/>
        </w:rPr>
      </w:pPr>
      <w:r w:rsidRPr="002E37DE">
        <w:rPr>
          <w:b/>
          <w:bCs/>
          <w:sz w:val="24"/>
          <w:lang w:val="en-GB"/>
        </w:rPr>
        <w:t>ASYMMETRY ANALYSIS OF CROSS ON GYMNASTICS TRAINING AND COMPETITION RINGS</w:t>
      </w:r>
    </w:p>
    <w:p w:rsidR="00FC4BCD" w:rsidRDefault="002E37DE">
      <w:pPr>
        <w:spacing w:after="120"/>
        <w:jc w:val="center"/>
        <w:rPr>
          <w:b/>
          <w:bCs/>
          <w:sz w:val="24"/>
          <w:lang w:val="en-GB"/>
        </w:rPr>
      </w:pPr>
      <w:r w:rsidRPr="002E37DE">
        <w:rPr>
          <w:b/>
          <w:bCs/>
          <w:sz w:val="24"/>
          <w:lang w:val="en-GB"/>
        </w:rPr>
        <w:t>Paulo Carrara</w:t>
      </w:r>
      <w:r w:rsidRPr="002E37DE">
        <w:rPr>
          <w:b/>
          <w:bCs/>
          <w:sz w:val="24"/>
          <w:vertAlign w:val="superscript"/>
          <w:lang w:val="en-GB"/>
        </w:rPr>
        <w:t>1</w:t>
      </w:r>
      <w:r w:rsidRPr="002E37DE">
        <w:rPr>
          <w:b/>
          <w:bCs/>
          <w:sz w:val="24"/>
          <w:lang w:val="en-GB"/>
        </w:rPr>
        <w:t>, Timothy Exell</w:t>
      </w:r>
      <w:r w:rsidRPr="002E37DE">
        <w:rPr>
          <w:b/>
          <w:bCs/>
          <w:sz w:val="24"/>
          <w:vertAlign w:val="superscript"/>
          <w:lang w:val="en-GB"/>
        </w:rPr>
        <w:t>2</w:t>
      </w:r>
      <w:r w:rsidRPr="002E37DE">
        <w:rPr>
          <w:b/>
          <w:bCs/>
          <w:sz w:val="24"/>
          <w:lang w:val="en-GB"/>
        </w:rPr>
        <w:t>, Julio Serrão</w:t>
      </w:r>
      <w:r w:rsidRPr="002E37DE">
        <w:rPr>
          <w:b/>
          <w:bCs/>
          <w:sz w:val="24"/>
          <w:vertAlign w:val="superscript"/>
          <w:lang w:val="en-GB"/>
        </w:rPr>
        <w:t>1</w:t>
      </w:r>
      <w:r w:rsidRPr="002E37DE">
        <w:rPr>
          <w:b/>
          <w:bCs/>
          <w:sz w:val="24"/>
          <w:lang w:val="en-GB"/>
        </w:rPr>
        <w:t>, Alberto Amadio</w:t>
      </w:r>
      <w:r w:rsidRPr="002E37DE">
        <w:rPr>
          <w:b/>
          <w:bCs/>
          <w:sz w:val="24"/>
          <w:vertAlign w:val="superscript"/>
          <w:lang w:val="en-GB"/>
        </w:rPr>
        <w:t>1</w:t>
      </w:r>
      <w:r w:rsidRPr="002E37DE">
        <w:rPr>
          <w:b/>
          <w:bCs/>
          <w:sz w:val="24"/>
          <w:lang w:val="en-GB"/>
        </w:rPr>
        <w:t>, Luis Mochizuki</w:t>
      </w:r>
      <w:r w:rsidRPr="002E37DE">
        <w:rPr>
          <w:b/>
          <w:bCs/>
          <w:sz w:val="24"/>
          <w:vertAlign w:val="superscript"/>
          <w:lang w:val="en-GB"/>
        </w:rPr>
        <w:t>1</w:t>
      </w:r>
      <w:r w:rsidRPr="002E37DE">
        <w:rPr>
          <w:b/>
          <w:bCs/>
          <w:sz w:val="24"/>
          <w:lang w:val="en-GB"/>
        </w:rPr>
        <w:t>, Gareth Irwin</w:t>
      </w:r>
      <w:r w:rsidR="00FC4BCD">
        <w:rPr>
          <w:b/>
          <w:bCs/>
          <w:sz w:val="24"/>
          <w:vertAlign w:val="superscript"/>
          <w:lang w:val="en-GB"/>
        </w:rPr>
        <w:t>2</w:t>
      </w:r>
    </w:p>
    <w:p w:rsidR="00FC4BCD" w:rsidRDefault="002E37DE">
      <w:pPr>
        <w:spacing w:after="240"/>
        <w:jc w:val="center"/>
        <w:rPr>
          <w:sz w:val="20"/>
          <w:szCs w:val="20"/>
          <w:lang w:val="en-GB"/>
        </w:rPr>
      </w:pPr>
      <w:r w:rsidRPr="002E37DE">
        <w:rPr>
          <w:b/>
          <w:bCs/>
          <w:sz w:val="24"/>
          <w:lang w:val="en-GB"/>
        </w:rPr>
        <w:t>School of Physical Education and Sport, University of São Paulo, São Paulo, Brazil</w:t>
      </w:r>
      <w:r w:rsidRPr="002E37DE">
        <w:rPr>
          <w:b/>
          <w:bCs/>
          <w:sz w:val="24"/>
          <w:vertAlign w:val="superscript"/>
          <w:lang w:val="en-GB"/>
        </w:rPr>
        <w:t>1</w:t>
      </w:r>
      <w:r w:rsidRPr="002E37DE">
        <w:rPr>
          <w:b/>
          <w:bCs/>
          <w:sz w:val="24"/>
          <w:lang w:val="en-GB"/>
        </w:rPr>
        <w:br/>
        <w:t>Cardiff School of Sport, Cardiff Metropolitan University, Cardiff, Wales</w:t>
      </w:r>
      <w:r w:rsidR="00FC4BCD">
        <w:rPr>
          <w:b/>
          <w:bCs/>
          <w:sz w:val="24"/>
          <w:vertAlign w:val="superscript"/>
          <w:lang w:val="en-GB"/>
        </w:rPr>
        <w:t>2</w:t>
      </w:r>
    </w:p>
    <w:p w:rsidR="00FC4BCD" w:rsidRDefault="002E37DE">
      <w:pPr>
        <w:spacing w:after="240"/>
        <w:ind w:left="540" w:right="610"/>
        <w:rPr>
          <w:b/>
          <w:bCs/>
          <w:sz w:val="20"/>
          <w:szCs w:val="20"/>
          <w:lang w:val="en-GB"/>
        </w:rPr>
      </w:pPr>
      <w:r w:rsidRPr="002E37DE">
        <w:rPr>
          <w:sz w:val="20"/>
          <w:szCs w:val="20"/>
          <w:lang w:val="en-GB"/>
        </w:rPr>
        <w:t xml:space="preserve">Based on </w:t>
      </w:r>
      <w:r w:rsidR="008B1B88" w:rsidRPr="002E37DE">
        <w:rPr>
          <w:sz w:val="20"/>
          <w:szCs w:val="20"/>
          <w:lang w:val="en-GB"/>
        </w:rPr>
        <w:t>biomechanics</w:t>
      </w:r>
      <w:r w:rsidRPr="002E37DE">
        <w:rPr>
          <w:sz w:val="20"/>
          <w:szCs w:val="20"/>
          <w:lang w:val="en-GB"/>
        </w:rPr>
        <w:t xml:space="preserve"> and </w:t>
      </w:r>
      <w:r w:rsidR="00F419EF" w:rsidRPr="002E37DE">
        <w:rPr>
          <w:sz w:val="20"/>
          <w:szCs w:val="20"/>
          <w:lang w:val="en-GB"/>
        </w:rPr>
        <w:t xml:space="preserve">the </w:t>
      </w:r>
      <w:r w:rsidR="008B1B88" w:rsidRPr="00F419EF">
        <w:rPr>
          <w:sz w:val="20"/>
          <w:szCs w:val="20"/>
          <w:lang w:val="en-GB"/>
        </w:rPr>
        <w:t>principles</w:t>
      </w:r>
      <w:r w:rsidR="00F419EF" w:rsidRPr="002E37DE">
        <w:rPr>
          <w:sz w:val="20"/>
          <w:szCs w:val="20"/>
          <w:lang w:val="en-GB"/>
        </w:rPr>
        <w:t xml:space="preserve"> of </w:t>
      </w:r>
      <w:r w:rsidRPr="002E37DE">
        <w:rPr>
          <w:sz w:val="20"/>
          <w:szCs w:val="20"/>
          <w:lang w:val="en-GB"/>
        </w:rPr>
        <w:t>training specificity</w:t>
      </w:r>
      <w:r w:rsidR="002C4C31">
        <w:rPr>
          <w:sz w:val="20"/>
          <w:szCs w:val="20"/>
          <w:lang w:val="en-GB"/>
        </w:rPr>
        <w:t>,</w:t>
      </w:r>
      <w:r w:rsidRPr="002E37DE">
        <w:rPr>
          <w:sz w:val="20"/>
          <w:szCs w:val="20"/>
          <w:lang w:val="en-GB"/>
        </w:rPr>
        <w:t xml:space="preserve"> the purpose of this study was to verify whether the use of a training device is a specific drill to the static cross posture on rings. Six elite Brazilian gymnasts performed </w:t>
      </w:r>
      <w:r w:rsidR="002C4C31">
        <w:rPr>
          <w:sz w:val="20"/>
          <w:szCs w:val="20"/>
          <w:lang w:val="en-GB"/>
        </w:rPr>
        <w:t xml:space="preserve">the cross </w:t>
      </w:r>
      <w:r w:rsidRPr="002E37DE">
        <w:rPr>
          <w:sz w:val="20"/>
          <w:szCs w:val="20"/>
          <w:lang w:val="en-GB"/>
        </w:rPr>
        <w:t xml:space="preserve">on competition and training rings. Variables analysed from digitised video data were right and left shoulder angles in the frontal plane. Larger angles were found when performing the cross on training rings for right (RMSD 3.20°) and left (RMSD 3.27°) shoulders. Less inter-limb asymmetry was also reported for the training rings (1.87%), compared to the competition (2.25%) condition. The training device seems to allow elite gymnasts to reduce </w:t>
      </w:r>
      <w:r w:rsidR="002C4C31">
        <w:rPr>
          <w:sz w:val="20"/>
          <w:szCs w:val="20"/>
          <w:lang w:val="en-GB"/>
        </w:rPr>
        <w:t xml:space="preserve">shoulder </w:t>
      </w:r>
      <w:r w:rsidR="002C4C31" w:rsidRPr="002E37DE">
        <w:rPr>
          <w:sz w:val="20"/>
          <w:szCs w:val="20"/>
          <w:lang w:val="en-GB"/>
        </w:rPr>
        <w:t xml:space="preserve">asymmetry </w:t>
      </w:r>
      <w:r w:rsidR="002C4C31">
        <w:rPr>
          <w:sz w:val="20"/>
          <w:szCs w:val="20"/>
          <w:lang w:val="en-GB"/>
        </w:rPr>
        <w:t xml:space="preserve">and </w:t>
      </w:r>
      <w:r w:rsidRPr="002E37DE">
        <w:rPr>
          <w:sz w:val="20"/>
          <w:szCs w:val="20"/>
          <w:lang w:val="en-GB"/>
        </w:rPr>
        <w:t xml:space="preserve">deviations from 90° </w:t>
      </w:r>
      <w:r w:rsidR="002C4C31" w:rsidRPr="002E37DE">
        <w:rPr>
          <w:sz w:val="20"/>
          <w:szCs w:val="20"/>
          <w:lang w:val="en-GB"/>
        </w:rPr>
        <w:t>whilst performing the cross</w:t>
      </w:r>
      <w:r w:rsidRPr="002E37DE">
        <w:rPr>
          <w:sz w:val="20"/>
          <w:szCs w:val="20"/>
          <w:lang w:val="en-GB"/>
        </w:rPr>
        <w:t>, which can lead to execution penalties in competition</w:t>
      </w:r>
      <w:r w:rsidR="00FC4BCD">
        <w:rPr>
          <w:sz w:val="20"/>
          <w:szCs w:val="20"/>
          <w:lang w:val="en-GB"/>
        </w:rPr>
        <w:t>.</w:t>
      </w:r>
    </w:p>
    <w:p w:rsidR="00FC4BCD" w:rsidRDefault="00FC4BCD">
      <w:pPr>
        <w:ind w:left="540"/>
        <w:jc w:val="left"/>
        <w:rPr>
          <w:sz w:val="24"/>
          <w:lang w:val="en-GB"/>
        </w:rPr>
      </w:pPr>
      <w:r>
        <w:rPr>
          <w:b/>
          <w:bCs/>
          <w:sz w:val="20"/>
          <w:szCs w:val="20"/>
          <w:lang w:val="en-GB"/>
        </w:rPr>
        <w:t xml:space="preserve">KEY WORDS: </w:t>
      </w:r>
      <w:r w:rsidR="002E37DE" w:rsidRPr="002E37DE">
        <w:rPr>
          <w:bCs/>
          <w:sz w:val="20"/>
          <w:szCs w:val="20"/>
          <w:lang w:val="en-GB"/>
        </w:rPr>
        <w:t>symmetry angle, shoulder, coaching</w:t>
      </w:r>
      <w:r>
        <w:rPr>
          <w:sz w:val="20"/>
          <w:szCs w:val="20"/>
          <w:lang w:val="en-GB"/>
        </w:rPr>
        <w:t>.</w:t>
      </w:r>
    </w:p>
    <w:p w:rsidR="00FC4BCD" w:rsidRDefault="00FC4BCD">
      <w:pPr>
        <w:ind w:left="540"/>
        <w:jc w:val="left"/>
        <w:rPr>
          <w:sz w:val="24"/>
          <w:lang w:val="en-GB"/>
        </w:rPr>
      </w:pPr>
    </w:p>
    <w:p w:rsidR="002E37DE" w:rsidRPr="002E37DE" w:rsidRDefault="00FC4BCD" w:rsidP="002E37DE">
      <w:pPr>
        <w:rPr>
          <w:szCs w:val="22"/>
          <w:lang w:val="en-GB"/>
        </w:rPr>
      </w:pPr>
      <w:r>
        <w:rPr>
          <w:b/>
          <w:bCs/>
          <w:szCs w:val="22"/>
          <w:lang w:val="en-GB"/>
        </w:rPr>
        <w:t xml:space="preserve">INTRODUCTION: </w:t>
      </w:r>
      <w:r>
        <w:rPr>
          <w:szCs w:val="22"/>
          <w:lang w:val="en-GB"/>
        </w:rPr>
        <w:t>The</w:t>
      </w:r>
      <w:r w:rsidR="002E37DE" w:rsidRPr="002E37DE">
        <w:rPr>
          <w:szCs w:val="22"/>
          <w:lang w:val="en-GB"/>
        </w:rPr>
        <w:t xml:space="preserve"> cross is a key posture on rings, which is one event of male artistic gymnastics. It is characterised by maintaining shoulder abduction at 90°</w:t>
      </w:r>
      <w:r w:rsidR="002C4C31">
        <w:rPr>
          <w:szCs w:val="22"/>
          <w:lang w:val="en-GB"/>
        </w:rPr>
        <w:t xml:space="preserve"> in the </w:t>
      </w:r>
      <w:r w:rsidR="002E37DE" w:rsidRPr="002E37DE">
        <w:rPr>
          <w:szCs w:val="22"/>
          <w:lang w:val="en-GB"/>
        </w:rPr>
        <w:t xml:space="preserve">frontal plane with straight elbows for a minimum of two seconds (FIG, 2013). There are </w:t>
      </w:r>
      <w:r w:rsidR="002C4C31">
        <w:rPr>
          <w:szCs w:val="22"/>
          <w:lang w:val="en-GB"/>
        </w:rPr>
        <w:t xml:space="preserve">scoring </w:t>
      </w:r>
      <w:r w:rsidR="002E37DE" w:rsidRPr="002E37DE">
        <w:rPr>
          <w:szCs w:val="22"/>
          <w:lang w:val="en-GB"/>
        </w:rPr>
        <w:t xml:space="preserve">penalties applicable depending on how much deviation from 90° occurs at the shoulder joints whilst the skill is performed (FIG, 2013). Thus, measurement of shoulder angles would increase </w:t>
      </w:r>
      <w:r w:rsidR="00ED0984">
        <w:rPr>
          <w:szCs w:val="22"/>
          <w:lang w:val="en-GB"/>
        </w:rPr>
        <w:t xml:space="preserve">the </w:t>
      </w:r>
      <w:r w:rsidR="002E37DE" w:rsidRPr="002E37DE">
        <w:rPr>
          <w:szCs w:val="22"/>
          <w:lang w:val="en-GB"/>
        </w:rPr>
        <w:t>understanding of</w:t>
      </w:r>
      <w:r w:rsidR="002C4C31">
        <w:rPr>
          <w:szCs w:val="22"/>
          <w:lang w:val="en-GB"/>
        </w:rPr>
        <w:t xml:space="preserve"> successful</w:t>
      </w:r>
      <w:r w:rsidR="002E37DE" w:rsidRPr="002E37DE">
        <w:rPr>
          <w:szCs w:val="22"/>
          <w:lang w:val="en-GB"/>
        </w:rPr>
        <w:t xml:space="preserve"> performance of this skill. </w:t>
      </w:r>
    </w:p>
    <w:p w:rsidR="002E37DE" w:rsidRPr="002E37DE" w:rsidRDefault="002E37DE" w:rsidP="002E37DE">
      <w:pPr>
        <w:rPr>
          <w:szCs w:val="22"/>
          <w:lang w:val="en-GB"/>
        </w:rPr>
      </w:pPr>
      <w:r w:rsidRPr="002E37DE">
        <w:rPr>
          <w:szCs w:val="22"/>
          <w:lang w:val="en-GB"/>
        </w:rPr>
        <w:t>One training method</w:t>
      </w:r>
      <w:r w:rsidR="002C4C31">
        <w:rPr>
          <w:szCs w:val="22"/>
          <w:lang w:val="en-GB"/>
        </w:rPr>
        <w:t xml:space="preserve"> for </w:t>
      </w:r>
      <w:r w:rsidR="00E51D0F">
        <w:rPr>
          <w:szCs w:val="22"/>
          <w:lang w:val="en-GB"/>
        </w:rPr>
        <w:t xml:space="preserve">developing </w:t>
      </w:r>
      <w:r w:rsidR="002C4C31">
        <w:rPr>
          <w:szCs w:val="22"/>
          <w:lang w:val="en-GB"/>
        </w:rPr>
        <w:t xml:space="preserve">the cross involves the </w:t>
      </w:r>
      <w:r w:rsidRPr="002E37DE">
        <w:rPr>
          <w:szCs w:val="22"/>
          <w:lang w:val="en-GB"/>
        </w:rPr>
        <w:t>use</w:t>
      </w:r>
      <w:r w:rsidR="002C4C31">
        <w:rPr>
          <w:szCs w:val="22"/>
          <w:lang w:val="en-GB"/>
        </w:rPr>
        <w:t xml:space="preserve"> of</w:t>
      </w:r>
      <w:r w:rsidRPr="002E37DE">
        <w:rPr>
          <w:szCs w:val="22"/>
          <w:lang w:val="en-GB"/>
        </w:rPr>
        <w:t xml:space="preserve"> belts attached to the rings, which support gymnasts’ forearms to facilitate the training of the skill (Readhead, 1997). This training intends to improve the execution of the cross, reducing the deviations in shoulder angle from 90°, consequently lowering the penalties. However, no </w:t>
      </w:r>
      <w:r w:rsidR="00C1240B">
        <w:rPr>
          <w:szCs w:val="22"/>
          <w:lang w:val="en-GB"/>
        </w:rPr>
        <w:t xml:space="preserve">shoulder angle </w:t>
      </w:r>
      <w:r w:rsidRPr="002E37DE">
        <w:rPr>
          <w:szCs w:val="22"/>
          <w:lang w:val="en-GB"/>
        </w:rPr>
        <w:t>data were found regarding the kinematics of this skill in competition or about the drill on training rings. Therefore it is not clear whether the training device contributes to reduce the deviation from the required</w:t>
      </w:r>
      <w:r w:rsidR="00ED0984">
        <w:rPr>
          <w:szCs w:val="22"/>
          <w:lang w:val="en-GB"/>
        </w:rPr>
        <w:t xml:space="preserve"> </w:t>
      </w:r>
      <w:r w:rsidR="00ED0984" w:rsidRPr="002E37DE">
        <w:rPr>
          <w:szCs w:val="22"/>
          <w:lang w:val="en-GB"/>
        </w:rPr>
        <w:t>90°</w:t>
      </w:r>
      <w:r w:rsidRPr="002E37DE">
        <w:rPr>
          <w:szCs w:val="22"/>
          <w:lang w:val="en-GB"/>
        </w:rPr>
        <w:t xml:space="preserve"> </w:t>
      </w:r>
      <w:r w:rsidR="00ED0984">
        <w:rPr>
          <w:szCs w:val="22"/>
          <w:lang w:val="en-GB"/>
        </w:rPr>
        <w:t xml:space="preserve">of </w:t>
      </w:r>
      <w:r w:rsidR="00ED0984" w:rsidRPr="002E37DE">
        <w:rPr>
          <w:szCs w:val="22"/>
          <w:lang w:val="en-GB"/>
        </w:rPr>
        <w:t>shoulder abduction</w:t>
      </w:r>
      <w:r w:rsidRPr="002E37DE">
        <w:rPr>
          <w:szCs w:val="22"/>
          <w:lang w:val="en-GB"/>
        </w:rPr>
        <w:t xml:space="preserve">. </w:t>
      </w:r>
    </w:p>
    <w:p w:rsidR="00FC4BCD" w:rsidRDefault="002E37DE" w:rsidP="002E37DE">
      <w:pPr>
        <w:rPr>
          <w:szCs w:val="22"/>
          <w:lang w:val="en-GB"/>
        </w:rPr>
      </w:pPr>
      <w:r w:rsidRPr="002E37DE">
        <w:rPr>
          <w:szCs w:val="22"/>
          <w:lang w:val="en-GB"/>
        </w:rPr>
        <w:t>Recent research about biomechanical asymmetry can provide information regarding performance and coaching. Information on a participant’s asymmetry may inform the coaching – biomechanics interface (Irwin, Bezodis, &amp; Kerwin, 2013) to improve postur</w:t>
      </w:r>
      <w:r w:rsidR="00C1240B">
        <w:rPr>
          <w:szCs w:val="22"/>
          <w:lang w:val="en-GB"/>
        </w:rPr>
        <w:t>al</w:t>
      </w:r>
      <w:r w:rsidRPr="002E37DE">
        <w:rPr>
          <w:szCs w:val="22"/>
          <w:lang w:val="en-GB"/>
        </w:rPr>
        <w:t xml:space="preserve"> stability on rings. Asymmetry scores were used to analyse performance in sprint running (Exell, Irwin, Gittoes, &amp; Kerwin, 2012) and to allow for asymmetry comparisons between athletes over time and between asymmetry and performance (Exell, Gittoes, Irwin, &amp; Kerwin, 2012).</w:t>
      </w:r>
      <w:r w:rsidR="00346C4B">
        <w:rPr>
          <w:szCs w:val="22"/>
          <w:lang w:val="en-GB"/>
        </w:rPr>
        <w:t xml:space="preserve"> </w:t>
      </w:r>
      <w:r w:rsidRPr="002E37DE">
        <w:rPr>
          <w:szCs w:val="22"/>
          <w:lang w:val="en-GB"/>
        </w:rPr>
        <w:t xml:space="preserve">In gymnastics, asymmetry has direct implications on performance as penalties can be applied for asymmetrical performance (FIG, 2013). This research aimed to verify whether the use of this training device is a specific drill to the </w:t>
      </w:r>
      <w:r w:rsidR="00C1240B" w:rsidRPr="002E37DE">
        <w:rPr>
          <w:szCs w:val="22"/>
          <w:lang w:val="en-GB"/>
        </w:rPr>
        <w:t xml:space="preserve">static </w:t>
      </w:r>
      <w:r w:rsidRPr="002E37DE">
        <w:rPr>
          <w:szCs w:val="22"/>
          <w:lang w:val="en-GB"/>
        </w:rPr>
        <w:t xml:space="preserve">cross posture and whether it may improve performance </w:t>
      </w:r>
      <w:r w:rsidR="00E51D0F">
        <w:rPr>
          <w:szCs w:val="22"/>
          <w:lang w:val="en-GB"/>
        </w:rPr>
        <w:t>o</w:t>
      </w:r>
      <w:r w:rsidRPr="002E37DE">
        <w:rPr>
          <w:szCs w:val="22"/>
          <w:lang w:val="en-GB"/>
        </w:rPr>
        <w:t>n competition</w:t>
      </w:r>
      <w:r w:rsidR="00E51D0F">
        <w:rPr>
          <w:szCs w:val="22"/>
          <w:lang w:val="en-GB"/>
        </w:rPr>
        <w:t xml:space="preserve"> </w:t>
      </w:r>
      <w:r w:rsidR="00E51D0F" w:rsidRPr="002E37DE">
        <w:rPr>
          <w:szCs w:val="22"/>
          <w:lang w:val="en-GB"/>
        </w:rPr>
        <w:t>rings</w:t>
      </w:r>
      <w:r w:rsidR="00FC4BCD">
        <w:rPr>
          <w:szCs w:val="22"/>
          <w:lang w:val="en-GB"/>
        </w:rPr>
        <w:t>.</w:t>
      </w:r>
    </w:p>
    <w:p w:rsidR="00FC4BCD" w:rsidRDefault="00FC4BCD">
      <w:pPr>
        <w:rPr>
          <w:szCs w:val="22"/>
          <w:lang w:val="en-GB"/>
        </w:rPr>
      </w:pPr>
    </w:p>
    <w:p w:rsidR="002E37DE" w:rsidRPr="002E37DE" w:rsidRDefault="00FC4BCD" w:rsidP="002E37DE">
      <w:pPr>
        <w:rPr>
          <w:szCs w:val="22"/>
          <w:lang w:val="en-GB"/>
        </w:rPr>
      </w:pPr>
      <w:r>
        <w:rPr>
          <w:b/>
          <w:bCs/>
          <w:szCs w:val="22"/>
          <w:lang w:val="en-GB"/>
        </w:rPr>
        <w:t>METHODS:</w:t>
      </w:r>
      <w:r>
        <w:rPr>
          <w:szCs w:val="22"/>
          <w:lang w:val="en-GB"/>
        </w:rPr>
        <w:t xml:space="preserve"> </w:t>
      </w:r>
      <w:r w:rsidR="002E37DE" w:rsidRPr="002E37DE">
        <w:rPr>
          <w:szCs w:val="22"/>
          <w:lang w:val="en-GB"/>
        </w:rPr>
        <w:t xml:space="preserve">Ethical approval was gained from the University’s Research Ethics Committee prior to commencement of the study. Six Brazilian senior gymnasts performed three trials of </w:t>
      </w:r>
      <w:r w:rsidR="00C1240B">
        <w:rPr>
          <w:szCs w:val="22"/>
          <w:lang w:val="en-GB"/>
        </w:rPr>
        <w:t xml:space="preserve">the </w:t>
      </w:r>
      <w:r w:rsidR="002E37DE" w:rsidRPr="002E37DE">
        <w:rPr>
          <w:szCs w:val="22"/>
          <w:lang w:val="en-GB"/>
        </w:rPr>
        <w:t xml:space="preserve">cross in </w:t>
      </w:r>
      <w:r w:rsidR="00C1240B">
        <w:rPr>
          <w:szCs w:val="22"/>
          <w:lang w:val="en-GB"/>
        </w:rPr>
        <w:t xml:space="preserve">two </w:t>
      </w:r>
      <w:r w:rsidR="002E37DE" w:rsidRPr="002E37DE">
        <w:rPr>
          <w:szCs w:val="22"/>
          <w:lang w:val="en-GB"/>
        </w:rPr>
        <w:t>condition</w:t>
      </w:r>
      <w:r w:rsidR="00C1240B">
        <w:rPr>
          <w:szCs w:val="22"/>
          <w:lang w:val="en-GB"/>
        </w:rPr>
        <w:t>s</w:t>
      </w:r>
      <w:r w:rsidR="002E37DE" w:rsidRPr="002E37DE">
        <w:rPr>
          <w:szCs w:val="22"/>
          <w:lang w:val="en-GB"/>
        </w:rPr>
        <w:t>: training and competition rings</w:t>
      </w:r>
      <w:r w:rsidR="00C1240B">
        <w:rPr>
          <w:szCs w:val="22"/>
          <w:lang w:val="en-GB"/>
        </w:rPr>
        <w:t>,</w:t>
      </w:r>
      <w:r w:rsidR="002E37DE" w:rsidRPr="002E37DE">
        <w:rPr>
          <w:szCs w:val="22"/>
          <w:lang w:val="en-GB"/>
        </w:rPr>
        <w:t xml:space="preserve"> in a random order. Gymnasts</w:t>
      </w:r>
      <w:r w:rsidR="00C1240B">
        <w:rPr>
          <w:szCs w:val="22"/>
          <w:lang w:val="en-GB"/>
        </w:rPr>
        <w:t>’</w:t>
      </w:r>
      <w:r w:rsidR="002E37DE" w:rsidRPr="002E37DE">
        <w:rPr>
          <w:szCs w:val="22"/>
          <w:lang w:val="en-GB"/>
        </w:rPr>
        <w:t xml:space="preserve"> mean age, mass, stature and </w:t>
      </w:r>
      <w:r w:rsidR="00C1240B">
        <w:rPr>
          <w:szCs w:val="22"/>
          <w:lang w:val="en-GB"/>
        </w:rPr>
        <w:t>years of experience</w:t>
      </w:r>
      <w:r w:rsidR="002E37DE" w:rsidRPr="002E37DE">
        <w:rPr>
          <w:szCs w:val="22"/>
          <w:lang w:val="en-GB"/>
        </w:rPr>
        <w:t xml:space="preserve"> were 21.67 [±3.14] years, 61.53 [±5.66] kg, 1.66 [±0.05] m and 14.17 [±4.02] years, respectively. </w:t>
      </w:r>
    </w:p>
    <w:p w:rsidR="002E37DE" w:rsidRPr="002E37DE" w:rsidRDefault="002E37DE" w:rsidP="002E37DE">
      <w:pPr>
        <w:rPr>
          <w:szCs w:val="22"/>
          <w:lang w:val="en-GB"/>
        </w:rPr>
      </w:pPr>
      <w:r w:rsidRPr="002E37DE">
        <w:rPr>
          <w:szCs w:val="22"/>
          <w:lang w:val="en-GB"/>
        </w:rPr>
        <w:lastRenderedPageBreak/>
        <w:t xml:space="preserve">The trials were recorded by one digital camera operating at 50 Hz, placed </w:t>
      </w:r>
      <w:r w:rsidR="00C1240B">
        <w:rPr>
          <w:szCs w:val="22"/>
          <w:lang w:val="en-GB"/>
        </w:rPr>
        <w:t>5 m</w:t>
      </w:r>
      <w:r w:rsidRPr="002E37DE">
        <w:rPr>
          <w:szCs w:val="22"/>
          <w:lang w:val="en-GB"/>
        </w:rPr>
        <w:t xml:space="preserve"> from gymnasts’ frontal plane at </w:t>
      </w:r>
      <w:r w:rsidR="00C1240B">
        <w:rPr>
          <w:szCs w:val="22"/>
          <w:lang w:val="en-GB"/>
        </w:rPr>
        <w:t xml:space="preserve">the same height as the </w:t>
      </w:r>
      <w:r w:rsidRPr="002E37DE">
        <w:rPr>
          <w:szCs w:val="22"/>
          <w:lang w:val="en-GB"/>
        </w:rPr>
        <w:t>rings. Data collection occurred in the gymnasts’ training gym, with the apparatus</w:t>
      </w:r>
      <w:r w:rsidR="00C1240B">
        <w:rPr>
          <w:szCs w:val="22"/>
          <w:lang w:val="en-GB"/>
        </w:rPr>
        <w:t xml:space="preserve"> that</w:t>
      </w:r>
      <w:r w:rsidRPr="002E37DE">
        <w:rPr>
          <w:szCs w:val="22"/>
          <w:lang w:val="en-GB"/>
        </w:rPr>
        <w:t xml:space="preserve"> they use</w:t>
      </w:r>
      <w:r w:rsidR="001B36F0">
        <w:rPr>
          <w:szCs w:val="22"/>
          <w:lang w:val="en-GB"/>
        </w:rPr>
        <w:t>d</w:t>
      </w:r>
      <w:r w:rsidRPr="002E37DE">
        <w:rPr>
          <w:szCs w:val="22"/>
          <w:lang w:val="en-GB"/>
        </w:rPr>
        <w:t xml:space="preserve"> to practice. </w:t>
      </w:r>
    </w:p>
    <w:p w:rsidR="002E37DE" w:rsidRPr="002E37DE" w:rsidRDefault="002E37DE" w:rsidP="002E37DE">
      <w:pPr>
        <w:rPr>
          <w:szCs w:val="22"/>
          <w:lang w:val="en-GB"/>
        </w:rPr>
      </w:pPr>
      <w:r w:rsidRPr="002E37DE">
        <w:rPr>
          <w:szCs w:val="22"/>
          <w:lang w:val="en-GB"/>
        </w:rPr>
        <w:t xml:space="preserve">The videos were digitised and data were filtered with a low-pass Butterworth filter, </w:t>
      </w:r>
      <w:r w:rsidR="00C1240B">
        <w:rPr>
          <w:szCs w:val="22"/>
          <w:lang w:val="en-GB"/>
        </w:rPr>
        <w:t xml:space="preserve">with appropriate cut-off frequency </w:t>
      </w:r>
      <w:r w:rsidRPr="002E37DE">
        <w:rPr>
          <w:szCs w:val="22"/>
          <w:lang w:val="en-GB"/>
        </w:rPr>
        <w:t xml:space="preserve">determined by residual analysis (Winter, 2009). Kinematic data were reconstructed </w:t>
      </w:r>
      <w:r w:rsidR="00C1240B">
        <w:rPr>
          <w:szCs w:val="22"/>
          <w:lang w:val="en-GB"/>
        </w:rPr>
        <w:t>using direct linear transformation in</w:t>
      </w:r>
      <w:r w:rsidRPr="002E37DE">
        <w:rPr>
          <w:szCs w:val="22"/>
          <w:lang w:val="en-GB"/>
        </w:rPr>
        <w:t xml:space="preserve"> </w:t>
      </w:r>
      <w:r w:rsidRPr="0058695F">
        <w:rPr>
          <w:szCs w:val="22"/>
          <w:lang w:val="en-GB"/>
        </w:rPr>
        <w:t>Matlab</w:t>
      </w:r>
      <w:r w:rsidRPr="002E37DE">
        <w:rPr>
          <w:szCs w:val="22"/>
          <w:lang w:val="en-GB"/>
        </w:rPr>
        <w:t xml:space="preserve"> (Mathworks) (Hedrick, 2008) and imported into Visual 3D (C-Motion). An upper limb model (Rab, Petuskey, &amp; Bagley, 2002) was applied to the data points and the</w:t>
      </w:r>
      <w:r w:rsidR="004B1F1D">
        <w:rPr>
          <w:szCs w:val="22"/>
          <w:lang w:val="en-GB"/>
        </w:rPr>
        <w:t xml:space="preserve"> frontal plane</w:t>
      </w:r>
      <w:r w:rsidRPr="002E37DE">
        <w:rPr>
          <w:szCs w:val="22"/>
          <w:lang w:val="en-GB"/>
        </w:rPr>
        <w:t xml:space="preserve"> angle between trunk and arm</w:t>
      </w:r>
      <w:r w:rsidR="004B1F1D">
        <w:rPr>
          <w:szCs w:val="22"/>
          <w:lang w:val="en-GB"/>
        </w:rPr>
        <w:t xml:space="preserve"> </w:t>
      </w:r>
      <w:r w:rsidRPr="002E37DE">
        <w:rPr>
          <w:szCs w:val="22"/>
          <w:lang w:val="en-GB"/>
        </w:rPr>
        <w:t>s</w:t>
      </w:r>
      <w:r w:rsidR="004B1F1D">
        <w:rPr>
          <w:szCs w:val="22"/>
          <w:lang w:val="en-GB"/>
        </w:rPr>
        <w:t>egments</w:t>
      </w:r>
      <w:r w:rsidRPr="002E37DE">
        <w:rPr>
          <w:szCs w:val="22"/>
          <w:lang w:val="en-GB"/>
        </w:rPr>
        <w:t xml:space="preserve"> were considered as shoulder angles. The data analysed comprised the </w:t>
      </w:r>
      <w:r w:rsidR="004B1F1D">
        <w:rPr>
          <w:szCs w:val="22"/>
          <w:lang w:val="en-GB"/>
        </w:rPr>
        <w:t xml:space="preserve">two seconds from the </w:t>
      </w:r>
      <w:r w:rsidRPr="002E37DE">
        <w:rPr>
          <w:szCs w:val="22"/>
          <w:lang w:val="en-GB"/>
        </w:rPr>
        <w:t xml:space="preserve">moment </w:t>
      </w:r>
      <w:r w:rsidR="004B1F1D">
        <w:rPr>
          <w:szCs w:val="22"/>
          <w:lang w:val="en-GB"/>
        </w:rPr>
        <w:t xml:space="preserve">that </w:t>
      </w:r>
      <w:r w:rsidRPr="002E37DE">
        <w:rPr>
          <w:szCs w:val="22"/>
          <w:lang w:val="en-GB"/>
        </w:rPr>
        <w:t>gymnast</w:t>
      </w:r>
      <w:r w:rsidR="004B1F1D">
        <w:rPr>
          <w:szCs w:val="22"/>
          <w:lang w:val="en-GB"/>
        </w:rPr>
        <w:t>s</w:t>
      </w:r>
      <w:r w:rsidRPr="002E37DE">
        <w:rPr>
          <w:szCs w:val="22"/>
          <w:lang w:val="en-GB"/>
        </w:rPr>
        <w:t xml:space="preserve"> reached </w:t>
      </w:r>
      <w:r w:rsidR="004B1F1D">
        <w:rPr>
          <w:szCs w:val="22"/>
          <w:lang w:val="en-GB"/>
        </w:rPr>
        <w:t xml:space="preserve">a </w:t>
      </w:r>
      <w:r w:rsidRPr="002E37DE">
        <w:rPr>
          <w:szCs w:val="22"/>
          <w:lang w:val="en-GB"/>
        </w:rPr>
        <w:t xml:space="preserve">static posture. </w:t>
      </w:r>
    </w:p>
    <w:p w:rsidR="001430B1" w:rsidRDefault="002E37DE" w:rsidP="001430B1">
      <w:pPr>
        <w:rPr>
          <w:szCs w:val="22"/>
          <w:lang w:val="en-GB"/>
        </w:rPr>
      </w:pPr>
      <w:r w:rsidRPr="002E37DE">
        <w:rPr>
          <w:szCs w:val="22"/>
          <w:lang w:val="en-GB"/>
        </w:rPr>
        <w:t>Percentage differences between left and right values were calculated using the symmetry angle (θ</w:t>
      </w:r>
      <w:r w:rsidRPr="002E37DE">
        <w:rPr>
          <w:szCs w:val="22"/>
          <w:vertAlign w:val="subscript"/>
          <w:lang w:val="en-GB"/>
        </w:rPr>
        <w:t>SYM</w:t>
      </w:r>
      <w:r w:rsidRPr="002E37DE">
        <w:rPr>
          <w:szCs w:val="22"/>
          <w:lang w:val="en-GB"/>
        </w:rPr>
        <w:t>) method (Zifchock, Davis, Higginson, &amp; Royer, 2008):</w:t>
      </w:r>
      <w:r w:rsidRPr="002E37DE">
        <w:rPr>
          <w:szCs w:val="22"/>
          <w:lang w:val="en-GB"/>
        </w:rPr>
        <w:tab/>
      </w:r>
    </w:p>
    <w:p w:rsidR="002E37DE" w:rsidRPr="002E37DE" w:rsidRDefault="001430B1" w:rsidP="00B7782D">
      <w:pPr>
        <w:jc w:val="center"/>
        <w:rPr>
          <w:szCs w:val="22"/>
          <w:lang w:val="en-GB"/>
        </w:rPr>
      </w:pPr>
      <w:r w:rsidRPr="00010805">
        <w:rPr>
          <w:szCs w:val="22"/>
          <w:lang w:val="en-GB"/>
        </w:rPr>
        <w:t>θ</w:t>
      </w:r>
      <w:r w:rsidRPr="00010805">
        <w:rPr>
          <w:szCs w:val="22"/>
          <w:vertAlign w:val="subscript"/>
          <w:lang w:val="en-GB"/>
        </w:rPr>
        <w:t>SYM</w:t>
      </w:r>
      <m:oMath>
        <m:r>
          <m:rPr>
            <m:sty m:val="p"/>
          </m:rPr>
          <w:rPr>
            <w:rFonts w:ascii="Cambria Math" w:eastAsia="Times New Roman"/>
            <w:szCs w:val="22"/>
            <w:lang w:val="en-GB" w:eastAsia="en-US"/>
          </w:rPr>
          <m:t xml:space="preserve"> </m:t>
        </m:r>
        <m:r>
          <m:rPr>
            <m:sty m:val="p"/>
          </m:rPr>
          <w:rPr>
            <w:rFonts w:ascii="Cambria Math" w:eastAsia="Times New Roman"/>
            <w:szCs w:val="22"/>
            <w:vertAlign w:val="subscript"/>
            <w:lang w:val="en-GB" w:eastAsia="en-US"/>
          </w:rPr>
          <m:t>=</m:t>
        </m:r>
        <m:f>
          <m:fPr>
            <m:ctrlPr>
              <w:rPr>
                <w:rFonts w:ascii="Cambria Math" w:eastAsia="Times New Roman" w:hAnsi="Cambria Math"/>
                <w:szCs w:val="22"/>
                <w:lang w:val="en-GB" w:eastAsia="en-US"/>
              </w:rPr>
            </m:ctrlPr>
          </m:fPr>
          <m:num>
            <m:r>
              <m:rPr>
                <m:sty m:val="p"/>
              </m:rPr>
              <w:rPr>
                <w:rFonts w:ascii="Cambria Math" w:eastAsia="Times New Roman"/>
                <w:szCs w:val="22"/>
                <w:lang w:val="en-GB" w:eastAsia="en-US"/>
              </w:rPr>
              <m:t>(45</m:t>
            </m:r>
            <m:r>
              <m:rPr>
                <m:sty m:val="p"/>
              </m:rPr>
              <w:rPr>
                <w:rFonts w:eastAsia="Times New Roman"/>
                <w:szCs w:val="22"/>
                <w:lang w:val="en-GB" w:eastAsia="en-US"/>
              </w:rPr>
              <m:t>°-</m:t>
            </m:r>
            <m:r>
              <m:rPr>
                <m:sty m:val="p"/>
              </m:rPr>
              <w:rPr>
                <w:rFonts w:ascii="Cambria Math" w:eastAsia="Times New Roman"/>
                <w:szCs w:val="22"/>
                <w:lang w:val="en-GB" w:eastAsia="en-US"/>
              </w:rPr>
              <m:t xml:space="preserve"> arctan</m:t>
            </m:r>
            <m:d>
              <m:dPr>
                <m:ctrlPr>
                  <w:rPr>
                    <w:rFonts w:ascii="Cambria Math" w:eastAsia="Times New Roman" w:hAnsi="Cambria Math"/>
                    <w:szCs w:val="22"/>
                    <w:lang w:val="en-GB" w:eastAsia="en-US"/>
                  </w:rPr>
                </m:ctrlPr>
              </m:dPr>
              <m:e>
                <m:r>
                  <m:rPr>
                    <m:sty m:val="p"/>
                  </m:rPr>
                  <w:rPr>
                    <w:rFonts w:ascii="Cambria Math" w:eastAsia="Times New Roman"/>
                    <w:szCs w:val="22"/>
                    <w:lang w:val="en-GB" w:eastAsia="en-US"/>
                  </w:rPr>
                  <m:t>Xleft / Xright)</m:t>
                </m:r>
              </m:e>
            </m:d>
          </m:num>
          <m:den>
            <m:r>
              <m:rPr>
                <m:sty m:val="p"/>
              </m:rPr>
              <w:rPr>
                <w:rFonts w:ascii="Cambria Math" w:eastAsia="Times New Roman"/>
                <w:szCs w:val="22"/>
                <w:lang w:val="en-GB" w:eastAsia="en-US"/>
              </w:rPr>
              <m:t>90</m:t>
            </m:r>
          </m:den>
        </m:f>
        <m:r>
          <m:rPr>
            <m:sty m:val="p"/>
          </m:rPr>
          <w:rPr>
            <w:rFonts w:ascii="Cambria Math" w:eastAsia="Times New Roman"/>
            <w:szCs w:val="22"/>
            <w:lang w:val="en-GB" w:eastAsia="en-US"/>
          </w:rPr>
          <m:t>x 100%</m:t>
        </m:r>
      </m:oMath>
      <w:r w:rsidR="001D5509">
        <w:rPr>
          <w:szCs w:val="22"/>
          <w:lang w:val="en-GB" w:eastAsia="en-US"/>
        </w:rPr>
        <w:t xml:space="preserve">  (1)</w:t>
      </w:r>
    </w:p>
    <w:p w:rsidR="00D67AEE" w:rsidRDefault="002E37DE" w:rsidP="008B1B88">
      <w:pPr>
        <w:rPr>
          <w:szCs w:val="22"/>
          <w:lang w:val="en-GB"/>
        </w:rPr>
      </w:pPr>
      <w:r w:rsidRPr="002E37DE">
        <w:rPr>
          <w:szCs w:val="22"/>
          <w:lang w:val="en-GB"/>
        </w:rPr>
        <w:t>Where θ</w:t>
      </w:r>
      <w:r w:rsidRPr="00D67AEE">
        <w:rPr>
          <w:szCs w:val="22"/>
          <w:lang w:val="en-GB"/>
        </w:rPr>
        <w:t>SYM</w:t>
      </w:r>
      <w:r w:rsidRPr="002E37DE">
        <w:rPr>
          <w:szCs w:val="22"/>
          <w:lang w:val="en-GB"/>
        </w:rPr>
        <w:t xml:space="preserve"> is the symmetry angle; Xleft is the gymnast’s mean left shoulder angle (</w:t>
      </w:r>
      <w:r w:rsidRPr="00D67AEE">
        <w:rPr>
          <w:szCs w:val="22"/>
          <w:lang w:val="en-GB"/>
        </w:rPr>
        <w:t>LSHOθ</w:t>
      </w:r>
      <w:r w:rsidRPr="002E37DE">
        <w:rPr>
          <w:szCs w:val="22"/>
          <w:lang w:val="en-GB"/>
        </w:rPr>
        <w:t>) value and Xright is the gymnast’s mean right shoulder angle</w:t>
      </w:r>
      <w:r w:rsidRPr="00D67AEE">
        <w:rPr>
          <w:szCs w:val="22"/>
          <w:lang w:val="en-GB"/>
        </w:rPr>
        <w:t xml:space="preserve"> (RSHOθ)</w:t>
      </w:r>
      <w:r w:rsidRPr="002E37DE">
        <w:rPr>
          <w:szCs w:val="22"/>
          <w:lang w:val="en-GB"/>
        </w:rPr>
        <w:t xml:space="preserve"> value. The symmetry values were rectified, allowing the magnitude of those values to be more easily compared between conditions. The gymnast’s three trials in each condition were averaged, and then RMSD and Asymmetry values were calculated, for each gymnast and condition. </w:t>
      </w:r>
      <w:r w:rsidR="00C45A13">
        <w:rPr>
          <w:szCs w:val="22"/>
          <w:lang w:val="en-GB"/>
        </w:rPr>
        <w:t xml:space="preserve">Following tests for </w:t>
      </w:r>
      <w:r w:rsidR="0058695F">
        <w:rPr>
          <w:szCs w:val="22"/>
          <w:lang w:val="en-GB"/>
        </w:rPr>
        <w:t>n</w:t>
      </w:r>
      <w:r w:rsidR="0058695F" w:rsidRPr="00D67AEE">
        <w:rPr>
          <w:szCs w:val="22"/>
          <w:lang w:val="en-GB"/>
        </w:rPr>
        <w:t>ormal</w:t>
      </w:r>
      <w:r w:rsidR="00C45A13" w:rsidRPr="00D67AEE">
        <w:rPr>
          <w:szCs w:val="22"/>
          <w:lang w:val="en-GB"/>
        </w:rPr>
        <w:t>ity,</w:t>
      </w:r>
      <w:r w:rsidR="0058695F">
        <w:rPr>
          <w:szCs w:val="22"/>
          <w:lang w:val="en-GB"/>
        </w:rPr>
        <w:t xml:space="preserve"> </w:t>
      </w:r>
      <w:r w:rsidR="00D356A2">
        <w:rPr>
          <w:szCs w:val="22"/>
          <w:lang w:val="en-GB"/>
        </w:rPr>
        <w:t xml:space="preserve">parametric </w:t>
      </w:r>
      <w:r w:rsidR="004B1F1D">
        <w:rPr>
          <w:szCs w:val="22"/>
          <w:lang w:val="en-GB"/>
        </w:rPr>
        <w:t xml:space="preserve">tests </w:t>
      </w:r>
      <w:r w:rsidRPr="002E37DE">
        <w:rPr>
          <w:szCs w:val="22"/>
          <w:lang w:val="en-GB"/>
        </w:rPr>
        <w:t xml:space="preserve">were used to test for significant (p&lt;0.05) differences of group </w:t>
      </w:r>
      <w:r w:rsidRPr="00D67AEE">
        <w:rPr>
          <w:szCs w:val="22"/>
          <w:lang w:val="en-GB"/>
        </w:rPr>
        <w:t>RSHOθ</w:t>
      </w:r>
      <w:r w:rsidRPr="002E37DE">
        <w:rPr>
          <w:szCs w:val="22"/>
          <w:lang w:val="en-GB"/>
        </w:rPr>
        <w:t xml:space="preserve">, </w:t>
      </w:r>
      <w:r w:rsidRPr="00D67AEE">
        <w:rPr>
          <w:szCs w:val="22"/>
          <w:lang w:val="en-GB"/>
        </w:rPr>
        <w:t>LSHOθ and Asymmetry in each condition (training versus competition). Mean group RMSD and Asymmetry values were calculated based on six gymnasts’ values, rather than shoulder group mean values</w:t>
      </w:r>
      <w:r w:rsidR="00FC4BCD" w:rsidRPr="00D67AEE">
        <w:rPr>
          <w:szCs w:val="22"/>
          <w:lang w:val="en-GB"/>
        </w:rPr>
        <w:t>.</w:t>
      </w:r>
    </w:p>
    <w:p w:rsidR="00D67AEE" w:rsidRDefault="00D67AEE" w:rsidP="008B1B88">
      <w:pPr>
        <w:rPr>
          <w:szCs w:val="22"/>
          <w:lang w:val="en-GB"/>
        </w:rPr>
      </w:pPr>
    </w:p>
    <w:p w:rsidR="008B1B88" w:rsidRDefault="00D67AEE" w:rsidP="008B1B88">
      <w:pPr>
        <w:rPr>
          <w:szCs w:val="22"/>
          <w:lang w:val="en-GB"/>
        </w:rPr>
      </w:pPr>
      <w:r>
        <w:rPr>
          <w:b/>
          <w:bCs/>
          <w:szCs w:val="22"/>
          <w:lang w:val="en-GB"/>
        </w:rPr>
        <w:t>RESULTS</w:t>
      </w:r>
      <w:r w:rsidR="00FC4BCD">
        <w:rPr>
          <w:b/>
          <w:bCs/>
          <w:szCs w:val="22"/>
          <w:lang w:val="en-GB"/>
        </w:rPr>
        <w:t xml:space="preserve">: </w:t>
      </w:r>
      <w:r w:rsidR="002E37DE" w:rsidRPr="002E37DE">
        <w:rPr>
          <w:bCs/>
          <w:szCs w:val="22"/>
          <w:lang w:val="en-GB"/>
        </w:rPr>
        <w:t xml:space="preserve">RSHOθ </w:t>
      </w:r>
      <w:r w:rsidR="002E37DE" w:rsidRPr="00D67AEE">
        <w:rPr>
          <w:bCs/>
          <w:szCs w:val="22"/>
          <w:lang w:val="en-GB"/>
        </w:rPr>
        <w:t>and</w:t>
      </w:r>
      <w:r w:rsidR="002E37DE" w:rsidRPr="002E37DE">
        <w:rPr>
          <w:bCs/>
          <w:szCs w:val="22"/>
          <w:lang w:val="en-GB"/>
        </w:rPr>
        <w:t xml:space="preserve"> LSHOθ, RMSD and Asymmetry values are individually shown in Table 1. Shoulder angle values were higher for the training condition for three gymnasts in RSHOθ, five in LSHOθ and in both shoulders for the group mean. Asymmetry values were lower in training condition (more symmetric)</w:t>
      </w:r>
      <w:r w:rsidR="000A686F">
        <w:rPr>
          <w:bCs/>
          <w:szCs w:val="22"/>
          <w:lang w:val="en-GB"/>
        </w:rPr>
        <w:t xml:space="preserve"> </w:t>
      </w:r>
      <w:r w:rsidR="000A686F">
        <w:t xml:space="preserve">for 4 of 6 gymnasts, unaffected in one </w:t>
      </w:r>
      <w:r w:rsidR="00DD2FCB">
        <w:t>(gymnast</w:t>
      </w:r>
      <w:r w:rsidR="000A686F">
        <w:t xml:space="preserve"> 3), and worse in one (</w:t>
      </w:r>
      <w:r w:rsidR="00DD2FCB">
        <w:t>gymnast</w:t>
      </w:r>
      <w:r w:rsidR="000A686F">
        <w:t xml:space="preserve"> 6)</w:t>
      </w:r>
      <w:r w:rsidR="002E37DE" w:rsidRPr="002E37DE">
        <w:rPr>
          <w:bCs/>
          <w:szCs w:val="22"/>
          <w:lang w:val="en-GB"/>
        </w:rPr>
        <w:t xml:space="preserve">. Statistically significant differences were found between conditions for LSHOθ </w:t>
      </w:r>
      <w:r w:rsidR="00641D6A">
        <w:rPr>
          <w:bCs/>
          <w:szCs w:val="22"/>
          <w:lang w:val="en-GB"/>
        </w:rPr>
        <w:t>(p=0.0</w:t>
      </w:r>
      <w:r w:rsidR="00C45A13">
        <w:rPr>
          <w:bCs/>
          <w:szCs w:val="22"/>
          <w:lang w:val="en-GB"/>
        </w:rPr>
        <w:t>17</w:t>
      </w:r>
      <w:r w:rsidR="00641D6A">
        <w:rPr>
          <w:bCs/>
          <w:szCs w:val="22"/>
          <w:lang w:val="en-GB"/>
        </w:rPr>
        <w:t>)</w:t>
      </w:r>
      <w:r w:rsidR="00FC4BCD">
        <w:rPr>
          <w:szCs w:val="22"/>
          <w:lang w:val="en-GB"/>
        </w:rPr>
        <w:t>.</w:t>
      </w:r>
    </w:p>
    <w:p w:rsidR="008B1B88" w:rsidRDefault="008B1B88" w:rsidP="008B1B88">
      <w:pPr>
        <w:rPr>
          <w:szCs w:val="22"/>
          <w:lang w:val="en-GB"/>
        </w:rPr>
      </w:pPr>
    </w:p>
    <w:p w:rsidR="008B1B88" w:rsidRPr="002E37DE" w:rsidRDefault="008B1B88" w:rsidP="008B1B88">
      <w:pPr>
        <w:rPr>
          <w:szCs w:val="22"/>
          <w:lang w:val="en-GB"/>
        </w:rPr>
      </w:pPr>
      <w:r>
        <w:rPr>
          <w:b/>
          <w:bCs/>
          <w:szCs w:val="22"/>
          <w:lang w:val="en-GB"/>
        </w:rPr>
        <w:t>DISCUSSION:</w:t>
      </w:r>
      <w:r>
        <w:rPr>
          <w:szCs w:val="22"/>
          <w:lang w:val="en-GB"/>
        </w:rPr>
        <w:t xml:space="preserve"> </w:t>
      </w:r>
      <w:r w:rsidRPr="002E37DE">
        <w:rPr>
          <w:szCs w:val="22"/>
          <w:lang w:val="en-GB"/>
        </w:rPr>
        <w:t>Most of the senior gymnasts pe</w:t>
      </w:r>
      <w:r w:rsidRPr="008B1B88">
        <w:rPr>
          <w:b/>
          <w:bCs/>
          <w:lang w:val="en-GB"/>
        </w:rPr>
        <w:t>r</w:t>
      </w:r>
      <w:r w:rsidRPr="002E37DE">
        <w:rPr>
          <w:szCs w:val="22"/>
          <w:lang w:val="en-GB"/>
        </w:rPr>
        <w:t>formed the drill in the training condition with less shoulder angle deviations from the 90° objective</w:t>
      </w:r>
      <w:r w:rsidR="0003198F">
        <w:rPr>
          <w:szCs w:val="22"/>
          <w:lang w:val="en-GB"/>
        </w:rPr>
        <w:t xml:space="preserve"> that </w:t>
      </w:r>
      <w:r w:rsidR="00346C4B">
        <w:rPr>
          <w:szCs w:val="22"/>
          <w:lang w:val="en-GB"/>
        </w:rPr>
        <w:t xml:space="preserve">in </w:t>
      </w:r>
      <w:r w:rsidR="0003198F">
        <w:rPr>
          <w:szCs w:val="22"/>
          <w:lang w:val="en-GB"/>
        </w:rPr>
        <w:t>the competition condition</w:t>
      </w:r>
      <w:r w:rsidRPr="002E37DE">
        <w:rPr>
          <w:szCs w:val="22"/>
          <w:lang w:val="en-GB"/>
        </w:rPr>
        <w:t xml:space="preserve">. Differences between conditions were higher for left shoulder angles, which served to reduce asymmetry in the training condition. High similarities between training and competition conditions are required to achieve a replication of the biomechanics of the target skill during </w:t>
      </w:r>
      <w:r w:rsidR="0003198F">
        <w:rPr>
          <w:szCs w:val="22"/>
          <w:lang w:val="en-GB"/>
        </w:rPr>
        <w:t>training</w:t>
      </w:r>
      <w:r w:rsidR="0003198F" w:rsidRPr="002E37DE">
        <w:rPr>
          <w:szCs w:val="22"/>
          <w:lang w:val="en-GB"/>
        </w:rPr>
        <w:t xml:space="preserve"> </w:t>
      </w:r>
      <w:r w:rsidRPr="002E37DE">
        <w:rPr>
          <w:szCs w:val="22"/>
          <w:lang w:val="en-GB"/>
        </w:rPr>
        <w:t>drill</w:t>
      </w:r>
      <w:r w:rsidR="0003198F">
        <w:rPr>
          <w:szCs w:val="22"/>
          <w:lang w:val="en-GB"/>
        </w:rPr>
        <w:t>s</w:t>
      </w:r>
      <w:r w:rsidRPr="002E37DE">
        <w:rPr>
          <w:szCs w:val="22"/>
          <w:lang w:val="en-GB"/>
        </w:rPr>
        <w:t xml:space="preserve"> (Irwin &amp; Kerwin, 2005; Irwin &amp; Kerwin, 2007; Irwin et al., 2013).  Gymnasts shoulder angles were larger for right (RMSD 3.20°) and left (RMSD 3.27°) </w:t>
      </w:r>
      <w:r w:rsidR="008F20D1">
        <w:rPr>
          <w:szCs w:val="22"/>
          <w:lang w:val="en-GB"/>
        </w:rPr>
        <w:t>sides</w:t>
      </w:r>
      <w:r w:rsidR="008F20D1" w:rsidRPr="002E37DE">
        <w:rPr>
          <w:szCs w:val="22"/>
          <w:lang w:val="en-GB"/>
        </w:rPr>
        <w:t xml:space="preserve"> </w:t>
      </w:r>
      <w:r w:rsidRPr="002E37DE">
        <w:rPr>
          <w:szCs w:val="22"/>
          <w:lang w:val="en-GB"/>
        </w:rPr>
        <w:t xml:space="preserve">when performing the cross on training rings. Considering the gymnastics regulations, it is desirable to employ training devices </w:t>
      </w:r>
      <w:r w:rsidR="008F20D1">
        <w:rPr>
          <w:szCs w:val="22"/>
          <w:lang w:val="en-GB"/>
        </w:rPr>
        <w:t xml:space="preserve">that facilitate training performance </w:t>
      </w:r>
      <w:r w:rsidRPr="002E37DE">
        <w:rPr>
          <w:szCs w:val="22"/>
          <w:lang w:val="en-GB"/>
        </w:rPr>
        <w:t xml:space="preserve">with </w:t>
      </w:r>
      <w:r w:rsidR="0058695F" w:rsidRPr="002E37DE">
        <w:rPr>
          <w:szCs w:val="22"/>
          <w:lang w:val="en-GB"/>
        </w:rPr>
        <w:t>less deviation</w:t>
      </w:r>
      <w:r w:rsidRPr="002E37DE">
        <w:rPr>
          <w:szCs w:val="22"/>
          <w:lang w:val="en-GB"/>
        </w:rPr>
        <w:t xml:space="preserve"> from 90° of shoulder abduction</w:t>
      </w:r>
      <w:r w:rsidR="008F20D1">
        <w:rPr>
          <w:szCs w:val="22"/>
          <w:lang w:val="en-GB"/>
        </w:rPr>
        <w:t xml:space="preserve"> </w:t>
      </w:r>
      <w:r w:rsidR="008F20D1" w:rsidRPr="002E37DE">
        <w:rPr>
          <w:szCs w:val="22"/>
          <w:lang w:val="en-GB"/>
        </w:rPr>
        <w:t>(Readhead, 1997)</w:t>
      </w:r>
      <w:r w:rsidRPr="002E37DE">
        <w:rPr>
          <w:szCs w:val="22"/>
          <w:lang w:val="en-GB"/>
        </w:rPr>
        <w:t xml:space="preserve">. </w:t>
      </w:r>
    </w:p>
    <w:p w:rsidR="008B1B88" w:rsidRPr="002E37DE" w:rsidRDefault="008B1B88" w:rsidP="008B1B88">
      <w:pPr>
        <w:rPr>
          <w:szCs w:val="22"/>
          <w:lang w:val="en-GB"/>
        </w:rPr>
      </w:pPr>
      <w:r w:rsidRPr="002E37DE">
        <w:rPr>
          <w:szCs w:val="22"/>
          <w:lang w:val="en-GB"/>
        </w:rPr>
        <w:t>Knowledge of shoulder asymmetr</w:t>
      </w:r>
      <w:r w:rsidR="008F20D1">
        <w:rPr>
          <w:szCs w:val="22"/>
          <w:lang w:val="en-GB"/>
        </w:rPr>
        <w:t>y</w:t>
      </w:r>
      <w:r w:rsidRPr="002E37DE">
        <w:rPr>
          <w:szCs w:val="22"/>
          <w:lang w:val="en-GB"/>
        </w:rPr>
        <w:t xml:space="preserve"> in the different conditions can facilitate the understanding and the development of this gymnastic skill (Exell, Irwin, Godden, &amp; Kerwin, 2012), improving performance and developing more complex skill combinations safely and effectively (Readhead, 1997). </w:t>
      </w:r>
      <w:r w:rsidR="008F20D1">
        <w:rPr>
          <w:szCs w:val="22"/>
          <w:lang w:val="en-GB"/>
        </w:rPr>
        <w:t>During</w:t>
      </w:r>
      <w:r w:rsidRPr="002E37DE">
        <w:rPr>
          <w:szCs w:val="22"/>
          <w:lang w:val="en-GB"/>
        </w:rPr>
        <w:t xml:space="preserve"> the static </w:t>
      </w:r>
      <w:r w:rsidR="008F20D1" w:rsidRPr="002E37DE">
        <w:rPr>
          <w:szCs w:val="22"/>
          <w:lang w:val="en-GB"/>
        </w:rPr>
        <w:t xml:space="preserve">cross </w:t>
      </w:r>
      <w:r w:rsidRPr="002E37DE">
        <w:rPr>
          <w:szCs w:val="22"/>
          <w:lang w:val="en-GB"/>
        </w:rPr>
        <w:t>position, asymmetr</w:t>
      </w:r>
      <w:r w:rsidR="008F20D1">
        <w:rPr>
          <w:szCs w:val="22"/>
          <w:lang w:val="en-GB"/>
        </w:rPr>
        <w:t>y</w:t>
      </w:r>
      <w:r w:rsidRPr="002E37DE">
        <w:rPr>
          <w:szCs w:val="22"/>
          <w:lang w:val="en-GB"/>
        </w:rPr>
        <w:t xml:space="preserve"> directly influence</w:t>
      </w:r>
      <w:r w:rsidR="008F20D1">
        <w:rPr>
          <w:szCs w:val="22"/>
          <w:lang w:val="en-GB"/>
        </w:rPr>
        <w:t>s</w:t>
      </w:r>
      <w:r w:rsidRPr="002E37DE">
        <w:rPr>
          <w:szCs w:val="22"/>
          <w:lang w:val="en-GB"/>
        </w:rPr>
        <w:t xml:space="preserve"> performance, </w:t>
      </w:r>
      <w:r w:rsidR="008F20D1">
        <w:rPr>
          <w:szCs w:val="22"/>
          <w:lang w:val="en-GB"/>
        </w:rPr>
        <w:t xml:space="preserve">due to </w:t>
      </w:r>
      <w:r w:rsidRPr="002E37DE">
        <w:rPr>
          <w:szCs w:val="22"/>
          <w:lang w:val="en-GB"/>
        </w:rPr>
        <w:t>penalties for asymmetrical posture and the shoulder angle deviati</w:t>
      </w:r>
      <w:r w:rsidR="008F20D1">
        <w:rPr>
          <w:szCs w:val="22"/>
          <w:lang w:val="en-GB"/>
        </w:rPr>
        <w:t>ng</w:t>
      </w:r>
      <w:r w:rsidRPr="002E37DE">
        <w:rPr>
          <w:szCs w:val="22"/>
          <w:lang w:val="en-GB"/>
        </w:rPr>
        <w:t xml:space="preserve"> from 90º (FIG, 2013).</w:t>
      </w:r>
      <w:r w:rsidR="00346C4B">
        <w:rPr>
          <w:szCs w:val="22"/>
          <w:lang w:val="en-GB"/>
        </w:rPr>
        <w:t xml:space="preserve"> </w:t>
      </w:r>
      <w:r w:rsidRPr="002E37DE">
        <w:rPr>
          <w:szCs w:val="22"/>
          <w:lang w:val="en-GB"/>
        </w:rPr>
        <w:t>It is suggested that the use of the training device may be beneficial for improving performance of the cross on rings. However, further research could incorporate other instruments besides video analysis</w:t>
      </w:r>
      <w:r w:rsidR="008F20D1">
        <w:rPr>
          <w:szCs w:val="22"/>
          <w:lang w:val="en-GB"/>
        </w:rPr>
        <w:t>, such as force-instrumented rings,</w:t>
      </w:r>
      <w:r w:rsidRPr="002E37DE">
        <w:rPr>
          <w:szCs w:val="22"/>
          <w:lang w:val="en-GB"/>
        </w:rPr>
        <w:t xml:space="preserve"> for a comprehensive understanding (Irwin et al., 2013) of the neuromuscular and kinetic demands (Irwin &amp; Kerwin, 2007). </w:t>
      </w:r>
    </w:p>
    <w:p w:rsidR="008B1B88" w:rsidRPr="008B1B88" w:rsidRDefault="008B1B88" w:rsidP="002E37DE">
      <w:pPr>
        <w:spacing w:before="240" w:after="120"/>
        <w:rPr>
          <w:b/>
          <w:bCs/>
          <w:sz w:val="20"/>
          <w:szCs w:val="22"/>
          <w:lang w:val="en-GB"/>
        </w:rPr>
      </w:pPr>
    </w:p>
    <w:p w:rsidR="00FC4BCD" w:rsidRDefault="00FC4BCD">
      <w:pPr>
        <w:jc w:val="center"/>
        <w:rPr>
          <w:b/>
          <w:bCs/>
          <w:sz w:val="20"/>
          <w:szCs w:val="22"/>
        </w:rPr>
      </w:pPr>
      <w:r>
        <w:rPr>
          <w:b/>
          <w:bCs/>
          <w:sz w:val="20"/>
          <w:szCs w:val="22"/>
        </w:rPr>
        <w:lastRenderedPageBreak/>
        <w:t>Table 1</w:t>
      </w:r>
    </w:p>
    <w:p w:rsidR="00FC4BCD" w:rsidRPr="002E37DE" w:rsidRDefault="002E37DE" w:rsidP="002E37DE">
      <w:pPr>
        <w:jc w:val="center"/>
        <w:rPr>
          <w:b/>
          <w:bCs/>
          <w:sz w:val="20"/>
          <w:szCs w:val="22"/>
          <w:lang w:val="en-GB"/>
        </w:rPr>
      </w:pPr>
      <w:r w:rsidRPr="002E37DE">
        <w:rPr>
          <w:b/>
          <w:bCs/>
          <w:sz w:val="20"/>
          <w:szCs w:val="22"/>
          <w:lang w:val="en-GB"/>
        </w:rPr>
        <w:t>Participant mean shoulder angle, symmetry values (%) and RMSD on cross for competition and training conditions</w:t>
      </w:r>
    </w:p>
    <w:tbl>
      <w:tblPr>
        <w:tblW w:w="0" w:type="auto"/>
        <w:jc w:val="center"/>
        <w:tblLook w:val="04A0"/>
      </w:tblPr>
      <w:tblGrid>
        <w:gridCol w:w="1097"/>
        <w:gridCol w:w="1146"/>
        <w:gridCol w:w="1316"/>
        <w:gridCol w:w="2037"/>
        <w:gridCol w:w="1720"/>
      </w:tblGrid>
      <w:tr w:rsidR="002E37DE" w:rsidRPr="002E37DE" w:rsidTr="004B2E3E">
        <w:trPr>
          <w:trHeight w:val="585"/>
          <w:jc w:val="center"/>
        </w:trPr>
        <w:tc>
          <w:tcPr>
            <w:tcW w:w="0" w:type="auto"/>
            <w:tcBorders>
              <w:top w:val="single" w:sz="4" w:space="0" w:color="000000"/>
              <w:left w:val="nil"/>
              <w:bottom w:val="single" w:sz="4" w:space="0" w:color="auto"/>
              <w:right w:val="nil"/>
            </w:tcBorders>
            <w:shd w:val="clear" w:color="auto" w:fill="auto"/>
            <w:noWrap/>
            <w:vAlign w:val="center"/>
            <w:hideMark/>
          </w:tcPr>
          <w:p w:rsidR="002E37DE" w:rsidRPr="002E37DE" w:rsidRDefault="002E37DE" w:rsidP="002E37DE">
            <w:pPr>
              <w:rPr>
                <w:szCs w:val="22"/>
                <w:lang w:val="en-GB"/>
              </w:rPr>
            </w:pPr>
            <w:bookmarkStart w:id="0" w:name="OLE_LINK4"/>
            <w:bookmarkStart w:id="1" w:name="OLE_LINK3"/>
            <w:bookmarkEnd w:id="0"/>
            <w:bookmarkEnd w:id="1"/>
            <w:r w:rsidRPr="002E37DE">
              <w:rPr>
                <w:szCs w:val="22"/>
                <w:lang w:val="en-GB"/>
              </w:rPr>
              <w:t>Gymnast</w:t>
            </w:r>
          </w:p>
        </w:tc>
        <w:tc>
          <w:tcPr>
            <w:tcW w:w="0" w:type="auto"/>
            <w:tcBorders>
              <w:top w:val="single" w:sz="4" w:space="0" w:color="000000"/>
              <w:left w:val="nil"/>
              <w:bottom w:val="single" w:sz="4" w:space="0" w:color="auto"/>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Condition</w:t>
            </w:r>
          </w:p>
        </w:tc>
        <w:tc>
          <w:tcPr>
            <w:tcW w:w="0" w:type="auto"/>
            <w:tcBorders>
              <w:top w:val="single" w:sz="4" w:space="0" w:color="000000"/>
              <w:left w:val="nil"/>
              <w:bottom w:val="single" w:sz="4" w:space="0" w:color="auto"/>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 xml:space="preserve">RSHOθ </w:t>
            </w:r>
          </w:p>
          <w:p w:rsidR="002E37DE" w:rsidRPr="002E37DE" w:rsidRDefault="002E37DE" w:rsidP="002E37DE">
            <w:pPr>
              <w:rPr>
                <w:szCs w:val="22"/>
                <w:lang w:val="en-GB"/>
              </w:rPr>
            </w:pPr>
            <w:r w:rsidRPr="002E37DE">
              <w:rPr>
                <w:szCs w:val="22"/>
                <w:lang w:val="en-GB"/>
              </w:rPr>
              <w:t>Mean±SD</w:t>
            </w:r>
          </w:p>
        </w:tc>
        <w:tc>
          <w:tcPr>
            <w:tcW w:w="0" w:type="auto"/>
            <w:tcBorders>
              <w:top w:val="single" w:sz="4" w:space="0" w:color="000000"/>
              <w:left w:val="nil"/>
              <w:bottom w:val="single" w:sz="4" w:space="0" w:color="auto"/>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LSHOθ  Mean±SD</w:t>
            </w:r>
          </w:p>
        </w:tc>
        <w:tc>
          <w:tcPr>
            <w:tcW w:w="0" w:type="auto"/>
            <w:tcBorders>
              <w:top w:val="single" w:sz="4" w:space="0" w:color="000000"/>
              <w:left w:val="nil"/>
              <w:bottom w:val="single" w:sz="4" w:space="0" w:color="auto"/>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Asymmetry (%)</w:t>
            </w:r>
          </w:p>
        </w:tc>
      </w:tr>
      <w:tr w:rsidR="002E37DE" w:rsidRPr="002E37DE" w:rsidTr="004B2E3E">
        <w:trPr>
          <w:trHeight w:val="315"/>
          <w:jc w:val="center"/>
        </w:trPr>
        <w:tc>
          <w:tcPr>
            <w:tcW w:w="0" w:type="auto"/>
            <w:tcBorders>
              <w:top w:val="single" w:sz="4" w:space="0" w:color="auto"/>
              <w:left w:val="nil"/>
              <w:bottom w:val="nil"/>
              <w:right w:val="nil"/>
            </w:tcBorders>
            <w:shd w:val="clear" w:color="auto" w:fill="auto"/>
            <w:noWrap/>
            <w:vAlign w:val="center"/>
            <w:hideMark/>
          </w:tcPr>
          <w:p w:rsidR="002E37DE" w:rsidRPr="002E37DE" w:rsidRDefault="002E37DE" w:rsidP="002E37DE">
            <w:pPr>
              <w:rPr>
                <w:szCs w:val="22"/>
                <w:lang w:val="en-GB"/>
              </w:rPr>
            </w:pPr>
          </w:p>
        </w:tc>
        <w:tc>
          <w:tcPr>
            <w:tcW w:w="0" w:type="auto"/>
            <w:tcBorders>
              <w:top w:val="single" w:sz="4" w:space="0" w:color="auto"/>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COMP</w:t>
            </w:r>
          </w:p>
        </w:tc>
        <w:tc>
          <w:tcPr>
            <w:tcW w:w="0" w:type="auto"/>
            <w:tcBorders>
              <w:top w:val="single" w:sz="4" w:space="0" w:color="auto"/>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74.84±1.38</w:t>
            </w:r>
          </w:p>
        </w:tc>
        <w:tc>
          <w:tcPr>
            <w:tcW w:w="0" w:type="auto"/>
            <w:tcBorders>
              <w:top w:val="single" w:sz="4" w:space="0" w:color="auto"/>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82.89±1.38</w:t>
            </w:r>
          </w:p>
        </w:tc>
        <w:tc>
          <w:tcPr>
            <w:tcW w:w="0" w:type="auto"/>
            <w:tcBorders>
              <w:top w:val="single" w:sz="4" w:space="0" w:color="auto"/>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3.24</w:t>
            </w:r>
          </w:p>
        </w:tc>
      </w:tr>
      <w:tr w:rsidR="002E37DE" w:rsidRPr="002E37DE" w:rsidTr="004B2E3E">
        <w:trPr>
          <w:trHeight w:val="315"/>
          <w:jc w:val="center"/>
        </w:trPr>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1</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TRAIN</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77.33±1.71</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85.29±1.71</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3.12</w:t>
            </w:r>
          </w:p>
        </w:tc>
      </w:tr>
      <w:tr w:rsidR="002E37DE" w:rsidRPr="002E37DE" w:rsidTr="004B2E3E">
        <w:trPr>
          <w:trHeight w:val="360"/>
          <w:jc w:val="center"/>
        </w:trPr>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RMSD</w:t>
            </w: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2.49</w:t>
            </w: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2.42</w:t>
            </w: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w:t>
            </w:r>
          </w:p>
        </w:tc>
      </w:tr>
      <w:tr w:rsidR="002E37DE" w:rsidRPr="002E37DE" w:rsidTr="004B2E3E">
        <w:trPr>
          <w:trHeight w:val="315"/>
          <w:jc w:val="center"/>
        </w:trPr>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COMP</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86.82±2.27</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82.08±6.97</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1.79</w:t>
            </w:r>
          </w:p>
        </w:tc>
      </w:tr>
      <w:tr w:rsidR="002E37DE" w:rsidRPr="002E37DE" w:rsidTr="004B2E3E">
        <w:trPr>
          <w:trHeight w:val="315"/>
          <w:jc w:val="center"/>
        </w:trPr>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2</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TRAIN</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85.15±2.16</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85.33±2.46</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0.07</w:t>
            </w:r>
          </w:p>
        </w:tc>
      </w:tr>
      <w:tr w:rsidR="002E37DE" w:rsidRPr="002E37DE" w:rsidTr="004B2E3E">
        <w:trPr>
          <w:trHeight w:val="360"/>
          <w:jc w:val="center"/>
        </w:trPr>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RMSD</w:t>
            </w: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1.68</w:t>
            </w: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3.26</w:t>
            </w: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w:t>
            </w:r>
          </w:p>
        </w:tc>
      </w:tr>
      <w:tr w:rsidR="002E37DE" w:rsidRPr="002E37DE" w:rsidTr="004B2E3E">
        <w:trPr>
          <w:trHeight w:val="315"/>
          <w:jc w:val="center"/>
        </w:trPr>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COMP</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71.09±1.40</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79.23±2.66</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3.44</w:t>
            </w:r>
          </w:p>
        </w:tc>
      </w:tr>
      <w:tr w:rsidR="002E37DE" w:rsidRPr="002E37DE" w:rsidTr="004B2E3E">
        <w:trPr>
          <w:trHeight w:val="315"/>
          <w:jc w:val="center"/>
        </w:trPr>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3</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TRAIN</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71.76±3.13</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79.19±3.03</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3.13</w:t>
            </w:r>
          </w:p>
        </w:tc>
      </w:tr>
      <w:tr w:rsidR="002E37DE" w:rsidRPr="002E37DE" w:rsidTr="004B2E3E">
        <w:trPr>
          <w:trHeight w:val="360"/>
          <w:jc w:val="center"/>
        </w:trPr>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RMSD</w:t>
            </w: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0.67</w:t>
            </w: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0.04</w:t>
            </w: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w:t>
            </w:r>
          </w:p>
        </w:tc>
      </w:tr>
      <w:tr w:rsidR="002E37DE" w:rsidRPr="002E37DE" w:rsidTr="004B2E3E">
        <w:trPr>
          <w:trHeight w:val="315"/>
          <w:jc w:val="center"/>
        </w:trPr>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COMP</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77.25±2.19</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71.94±2.13</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2.26</w:t>
            </w:r>
          </w:p>
        </w:tc>
      </w:tr>
      <w:tr w:rsidR="002E37DE" w:rsidRPr="002E37DE" w:rsidTr="004B2E3E">
        <w:trPr>
          <w:trHeight w:val="315"/>
          <w:jc w:val="center"/>
        </w:trPr>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4</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TRAIN</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75.26±0.75</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76.71±2.24</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0.60</w:t>
            </w:r>
          </w:p>
        </w:tc>
      </w:tr>
      <w:tr w:rsidR="002E37DE" w:rsidRPr="002E37DE" w:rsidTr="004B2E3E">
        <w:trPr>
          <w:trHeight w:val="360"/>
          <w:jc w:val="center"/>
        </w:trPr>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RMSD</w:t>
            </w: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1.98</w:t>
            </w: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4.77</w:t>
            </w: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w:t>
            </w:r>
          </w:p>
        </w:tc>
      </w:tr>
      <w:tr w:rsidR="002E37DE" w:rsidRPr="002E37DE" w:rsidTr="004B2E3E">
        <w:trPr>
          <w:trHeight w:val="315"/>
          <w:jc w:val="center"/>
        </w:trPr>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COMP</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70.76±2.48</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66.34±2.88</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2.05</w:t>
            </w:r>
          </w:p>
        </w:tc>
      </w:tr>
      <w:tr w:rsidR="002E37DE" w:rsidRPr="002E37DE" w:rsidTr="004B2E3E">
        <w:trPr>
          <w:trHeight w:val="315"/>
          <w:jc w:val="center"/>
        </w:trPr>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5</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TRAIN</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79.47±3.47</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72.97±2.32</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2.71</w:t>
            </w:r>
          </w:p>
        </w:tc>
      </w:tr>
      <w:tr w:rsidR="002E37DE" w:rsidRPr="002E37DE" w:rsidTr="004B2E3E">
        <w:trPr>
          <w:trHeight w:val="360"/>
          <w:jc w:val="center"/>
        </w:trPr>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RMSD</w:t>
            </w: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8.71</w:t>
            </w: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6.63</w:t>
            </w: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w:t>
            </w:r>
          </w:p>
        </w:tc>
      </w:tr>
      <w:tr w:rsidR="002E37DE" w:rsidRPr="002E37DE" w:rsidTr="004B2E3E">
        <w:trPr>
          <w:trHeight w:val="315"/>
          <w:jc w:val="center"/>
        </w:trPr>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COMP</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87.48±1.61</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85.57±2.61</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0.72</w:t>
            </w:r>
          </w:p>
        </w:tc>
      </w:tr>
      <w:tr w:rsidR="002E37DE" w:rsidRPr="002E37DE" w:rsidTr="004B2E3E">
        <w:trPr>
          <w:trHeight w:val="315"/>
          <w:jc w:val="center"/>
        </w:trPr>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6</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TRAIN</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83.83±1.08</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88.05±1.44</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1.56</w:t>
            </w:r>
          </w:p>
        </w:tc>
      </w:tr>
      <w:tr w:rsidR="002E37DE" w:rsidRPr="002E37DE" w:rsidTr="004B2E3E">
        <w:trPr>
          <w:trHeight w:val="300"/>
          <w:jc w:val="center"/>
        </w:trPr>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RMSD</w:t>
            </w: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3.65</w:t>
            </w: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2.48</w:t>
            </w: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w:t>
            </w:r>
          </w:p>
        </w:tc>
      </w:tr>
      <w:tr w:rsidR="002E37DE" w:rsidRPr="002E37DE" w:rsidTr="004B2E3E">
        <w:trPr>
          <w:trHeight w:val="315"/>
          <w:jc w:val="center"/>
        </w:trPr>
        <w:tc>
          <w:tcPr>
            <w:tcW w:w="0" w:type="auto"/>
            <w:vMerge w:val="restart"/>
            <w:tcBorders>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 xml:space="preserve">Group </w:t>
            </w:r>
          </w:p>
          <w:p w:rsidR="002E37DE" w:rsidRPr="002E37DE" w:rsidRDefault="002E37DE" w:rsidP="002E37DE">
            <w:pPr>
              <w:rPr>
                <w:szCs w:val="22"/>
                <w:lang w:val="en-GB"/>
              </w:rPr>
            </w:pPr>
            <w:r w:rsidRPr="002E37DE">
              <w:rPr>
                <w:szCs w:val="22"/>
                <w:lang w:val="en-GB"/>
              </w:rPr>
              <w:t>Mean</w:t>
            </w:r>
          </w:p>
        </w:tc>
        <w:tc>
          <w:tcPr>
            <w:tcW w:w="0" w:type="auto"/>
            <w:tcBorders>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COMP</w:t>
            </w:r>
          </w:p>
        </w:tc>
        <w:tc>
          <w:tcPr>
            <w:tcW w:w="0" w:type="auto"/>
            <w:tcBorders>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78.04±1.71</w:t>
            </w:r>
          </w:p>
        </w:tc>
        <w:tc>
          <w:tcPr>
            <w:tcW w:w="0" w:type="auto"/>
            <w:tcBorders>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78.01±3.04</w:t>
            </w:r>
          </w:p>
        </w:tc>
        <w:tc>
          <w:tcPr>
            <w:tcW w:w="0" w:type="auto"/>
            <w:tcBorders>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2.25</w:t>
            </w:r>
          </w:p>
        </w:tc>
      </w:tr>
      <w:tr w:rsidR="002E37DE" w:rsidRPr="002E37DE" w:rsidTr="004B2E3E">
        <w:trPr>
          <w:trHeight w:val="315"/>
          <w:jc w:val="center"/>
        </w:trPr>
        <w:tc>
          <w:tcPr>
            <w:tcW w:w="0" w:type="auto"/>
            <w:vMerge/>
            <w:tcBorders>
              <w:left w:val="nil"/>
              <w:right w:val="nil"/>
            </w:tcBorders>
            <w:shd w:val="clear" w:color="auto" w:fill="auto"/>
            <w:noWrap/>
            <w:vAlign w:val="center"/>
            <w:hideMark/>
          </w:tcPr>
          <w:p w:rsidR="002E37DE" w:rsidRPr="002E37DE" w:rsidRDefault="002E37DE" w:rsidP="002E37DE">
            <w:pPr>
              <w:rPr>
                <w:szCs w:val="22"/>
                <w:lang w:val="en-GB"/>
              </w:rPr>
            </w:pP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TRAIN</w:t>
            </w:r>
          </w:p>
        </w:tc>
        <w:tc>
          <w:tcPr>
            <w:tcW w:w="0" w:type="auto"/>
            <w:tcBorders>
              <w:top w:val="nil"/>
              <w:left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78.80±2.41</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81.26±2.30*</w:t>
            </w:r>
          </w:p>
        </w:tc>
        <w:tc>
          <w:tcPr>
            <w:tcW w:w="0" w:type="auto"/>
            <w:tcBorders>
              <w:top w:val="nil"/>
              <w:left w:val="nil"/>
              <w:bottom w:val="nil"/>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1.87</w:t>
            </w:r>
          </w:p>
        </w:tc>
      </w:tr>
      <w:tr w:rsidR="002E37DE" w:rsidRPr="002E37DE" w:rsidTr="004B2E3E">
        <w:trPr>
          <w:trHeight w:val="360"/>
          <w:jc w:val="center"/>
        </w:trPr>
        <w:tc>
          <w:tcPr>
            <w:tcW w:w="0" w:type="auto"/>
            <w:vMerge/>
            <w:tcBorders>
              <w:left w:val="nil"/>
              <w:bottom w:val="single" w:sz="4" w:space="0" w:color="auto"/>
              <w:right w:val="nil"/>
            </w:tcBorders>
            <w:shd w:val="clear" w:color="auto" w:fill="auto"/>
            <w:noWrap/>
            <w:vAlign w:val="center"/>
            <w:hideMark/>
          </w:tcPr>
          <w:p w:rsidR="002E37DE" w:rsidRPr="002E37DE" w:rsidRDefault="002E37DE" w:rsidP="002E37DE">
            <w:pPr>
              <w:rPr>
                <w:szCs w:val="22"/>
                <w:lang w:val="en-GB"/>
              </w:rPr>
            </w:pPr>
          </w:p>
        </w:tc>
        <w:tc>
          <w:tcPr>
            <w:tcW w:w="0" w:type="auto"/>
            <w:tcBorders>
              <w:top w:val="nil"/>
              <w:left w:val="nil"/>
              <w:bottom w:val="single" w:sz="4" w:space="0" w:color="auto"/>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RMSD</w:t>
            </w:r>
          </w:p>
        </w:tc>
        <w:tc>
          <w:tcPr>
            <w:tcW w:w="0" w:type="auto"/>
            <w:tcBorders>
              <w:top w:val="nil"/>
              <w:left w:val="nil"/>
              <w:bottom w:val="single" w:sz="4" w:space="0" w:color="auto"/>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3.20</w:t>
            </w:r>
          </w:p>
        </w:tc>
        <w:tc>
          <w:tcPr>
            <w:tcW w:w="0" w:type="auto"/>
            <w:tcBorders>
              <w:top w:val="nil"/>
              <w:left w:val="nil"/>
              <w:bottom w:val="single" w:sz="4" w:space="0" w:color="auto"/>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3.27</w:t>
            </w:r>
          </w:p>
        </w:tc>
        <w:tc>
          <w:tcPr>
            <w:tcW w:w="0" w:type="auto"/>
            <w:tcBorders>
              <w:top w:val="nil"/>
              <w:left w:val="nil"/>
              <w:bottom w:val="single" w:sz="4" w:space="0" w:color="auto"/>
              <w:right w:val="nil"/>
            </w:tcBorders>
            <w:shd w:val="clear" w:color="auto" w:fill="auto"/>
            <w:noWrap/>
            <w:vAlign w:val="center"/>
            <w:hideMark/>
          </w:tcPr>
          <w:p w:rsidR="002E37DE" w:rsidRPr="002E37DE" w:rsidRDefault="002E37DE" w:rsidP="002E37DE">
            <w:pPr>
              <w:rPr>
                <w:szCs w:val="22"/>
                <w:lang w:val="en-GB"/>
              </w:rPr>
            </w:pPr>
            <w:r w:rsidRPr="002E37DE">
              <w:rPr>
                <w:szCs w:val="22"/>
                <w:lang w:val="en-GB"/>
              </w:rPr>
              <w:t>-</w:t>
            </w:r>
          </w:p>
        </w:tc>
      </w:tr>
    </w:tbl>
    <w:p w:rsidR="00FC4BCD" w:rsidRDefault="002E37DE" w:rsidP="002E37DE">
      <w:pPr>
        <w:jc w:val="center"/>
        <w:rPr>
          <w:szCs w:val="22"/>
          <w:lang w:val="en-GB"/>
        </w:rPr>
      </w:pPr>
      <w:r>
        <w:rPr>
          <w:szCs w:val="22"/>
          <w:lang w:val="en-GB"/>
        </w:rPr>
        <w:t>COMP=</w:t>
      </w:r>
      <w:proofErr w:type="spellStart"/>
      <w:r>
        <w:rPr>
          <w:szCs w:val="22"/>
          <w:lang w:val="en-GB"/>
        </w:rPr>
        <w:t>competition</w:t>
      </w:r>
      <w:proofErr w:type="gramStart"/>
      <w:r>
        <w:rPr>
          <w:szCs w:val="22"/>
          <w:lang w:val="en-GB"/>
        </w:rPr>
        <w:t>,TRAIN</w:t>
      </w:r>
      <w:proofErr w:type="spellEnd"/>
      <w:proofErr w:type="gramEnd"/>
      <w:r>
        <w:rPr>
          <w:szCs w:val="22"/>
          <w:lang w:val="en-GB"/>
        </w:rPr>
        <w:t xml:space="preserve">=training. </w:t>
      </w:r>
      <w:r w:rsidRPr="00010805">
        <w:rPr>
          <w:szCs w:val="22"/>
          <w:lang w:val="en-GB"/>
        </w:rPr>
        <w:t>* Statistically significant</w:t>
      </w:r>
    </w:p>
    <w:p w:rsidR="008B1B88" w:rsidRDefault="008B1B88" w:rsidP="002E37DE">
      <w:pPr>
        <w:rPr>
          <w:szCs w:val="22"/>
          <w:lang w:val="en-GB"/>
        </w:rPr>
      </w:pPr>
    </w:p>
    <w:p w:rsidR="00FC4BCD" w:rsidRDefault="002E37DE" w:rsidP="002E37DE">
      <w:pPr>
        <w:rPr>
          <w:szCs w:val="22"/>
          <w:lang w:val="en-GB"/>
        </w:rPr>
      </w:pPr>
      <w:r w:rsidRPr="002E37DE">
        <w:rPr>
          <w:szCs w:val="22"/>
          <w:lang w:val="en-GB"/>
        </w:rPr>
        <w:t>Asymmetry was not found to be significant</w:t>
      </w:r>
      <w:r w:rsidR="008F20D1">
        <w:rPr>
          <w:szCs w:val="22"/>
          <w:lang w:val="en-GB"/>
        </w:rPr>
        <w:t>ly different</w:t>
      </w:r>
      <w:r w:rsidRPr="002E37DE">
        <w:rPr>
          <w:szCs w:val="22"/>
          <w:lang w:val="en-GB"/>
        </w:rPr>
        <w:t xml:space="preserve"> between the competition and training conditions. This finding supports the use of the training device as allowing gymnasts to train closer to the desired 90° shoulder </w:t>
      </w:r>
      <w:r w:rsidR="008B1B88" w:rsidRPr="002E37DE">
        <w:rPr>
          <w:szCs w:val="22"/>
          <w:lang w:val="en-GB"/>
        </w:rPr>
        <w:t xml:space="preserve">abduction </w:t>
      </w:r>
      <w:r w:rsidRPr="002E37DE">
        <w:rPr>
          <w:szCs w:val="22"/>
          <w:lang w:val="en-GB"/>
        </w:rPr>
        <w:t>angle, without negatively influencing the important consideration of asymmetry</w:t>
      </w:r>
      <w:r w:rsidR="00FC4BCD">
        <w:rPr>
          <w:szCs w:val="22"/>
          <w:lang w:val="en-GB"/>
        </w:rPr>
        <w:t>.</w:t>
      </w:r>
    </w:p>
    <w:p w:rsidR="00FC4BCD" w:rsidRDefault="00FC4BCD">
      <w:pPr>
        <w:rPr>
          <w:szCs w:val="22"/>
          <w:lang w:val="en-GB"/>
        </w:rPr>
      </w:pPr>
    </w:p>
    <w:p w:rsidR="003462F1" w:rsidRDefault="00FC4BCD" w:rsidP="003462F1">
      <w:pPr>
        <w:rPr>
          <w:szCs w:val="22"/>
          <w:lang w:val="en-GB"/>
        </w:rPr>
      </w:pPr>
      <w:r>
        <w:rPr>
          <w:b/>
          <w:bCs/>
          <w:szCs w:val="22"/>
          <w:lang w:val="en-GB"/>
        </w:rPr>
        <w:t>CONCLUSION:</w:t>
      </w:r>
      <w:r>
        <w:rPr>
          <w:szCs w:val="22"/>
          <w:lang w:val="en-GB"/>
        </w:rPr>
        <w:t xml:space="preserve"> </w:t>
      </w:r>
      <w:r w:rsidR="002E37DE" w:rsidRPr="002E37DE">
        <w:rPr>
          <w:szCs w:val="22"/>
          <w:lang w:val="en-GB"/>
        </w:rPr>
        <w:t xml:space="preserve">Differences observed for intra limbs and symmetry within each gymnast should be considered as important information </w:t>
      </w:r>
      <w:r w:rsidR="003462F1" w:rsidRPr="002E37DE">
        <w:rPr>
          <w:szCs w:val="22"/>
          <w:lang w:val="en-GB"/>
        </w:rPr>
        <w:t xml:space="preserve">source </w:t>
      </w:r>
      <w:r w:rsidR="002E37DE" w:rsidRPr="002E37DE">
        <w:rPr>
          <w:szCs w:val="22"/>
          <w:lang w:val="en-GB"/>
        </w:rPr>
        <w:t xml:space="preserve">of individual variation in this skill. Most gymnasts performed the cross </w:t>
      </w:r>
      <w:r w:rsidR="00640F7D">
        <w:rPr>
          <w:szCs w:val="22"/>
          <w:lang w:val="en-GB"/>
        </w:rPr>
        <w:t>in the training condition</w:t>
      </w:r>
      <w:r w:rsidR="002E37DE" w:rsidRPr="002E37DE">
        <w:rPr>
          <w:szCs w:val="22"/>
          <w:lang w:val="en-GB"/>
        </w:rPr>
        <w:t xml:space="preserve"> with less deviation from 90</w:t>
      </w:r>
      <w:r w:rsidR="002E37DE" w:rsidRPr="002E37DE">
        <w:rPr>
          <w:b/>
          <w:szCs w:val="22"/>
          <w:vertAlign w:val="superscript"/>
          <w:lang w:val="en-GB"/>
        </w:rPr>
        <w:t xml:space="preserve">° </w:t>
      </w:r>
      <w:r w:rsidR="002E37DE" w:rsidRPr="002E37DE">
        <w:rPr>
          <w:szCs w:val="22"/>
          <w:lang w:val="en-GB"/>
        </w:rPr>
        <w:t xml:space="preserve">than on competition </w:t>
      </w:r>
      <w:r w:rsidR="00640F7D">
        <w:rPr>
          <w:szCs w:val="22"/>
          <w:lang w:val="en-GB"/>
        </w:rPr>
        <w:t>rings</w:t>
      </w:r>
      <w:r w:rsidR="002E37DE" w:rsidRPr="003462F1">
        <w:rPr>
          <w:szCs w:val="22"/>
          <w:lang w:val="en-GB"/>
        </w:rPr>
        <w:t>.</w:t>
      </w:r>
      <w:r w:rsidR="003462F1" w:rsidRPr="003462F1">
        <w:rPr>
          <w:szCs w:val="22"/>
          <w:lang w:val="en-GB"/>
        </w:rPr>
        <w:t xml:space="preserve"> </w:t>
      </w:r>
      <w:r w:rsidR="00640F7D">
        <w:rPr>
          <w:szCs w:val="22"/>
          <w:lang w:val="en-GB"/>
        </w:rPr>
        <w:t xml:space="preserve">Based on the individual findings, </w:t>
      </w:r>
      <w:r w:rsidR="00640F7D">
        <w:t>i</w:t>
      </w:r>
      <w:r w:rsidR="003462F1" w:rsidRPr="003462F1">
        <w:t>t should be emphasised that coaches need to consider individual variations when applying results from group data.</w:t>
      </w:r>
    </w:p>
    <w:p w:rsidR="00FC4BCD" w:rsidRDefault="002E37DE" w:rsidP="002E37DE">
      <w:pPr>
        <w:rPr>
          <w:szCs w:val="22"/>
          <w:lang w:val="en-GB"/>
        </w:rPr>
      </w:pPr>
      <w:r w:rsidRPr="002E37DE">
        <w:rPr>
          <w:szCs w:val="22"/>
          <w:lang w:val="en-GB"/>
        </w:rPr>
        <w:t xml:space="preserve">The training device with forearm support allowed gymnasts to perform the drill of cross with </w:t>
      </w:r>
      <w:r w:rsidR="00640F7D">
        <w:rPr>
          <w:szCs w:val="22"/>
          <w:lang w:val="en-GB"/>
        </w:rPr>
        <w:t xml:space="preserve">the shoulders </w:t>
      </w:r>
      <w:r w:rsidRPr="002E37DE">
        <w:rPr>
          <w:szCs w:val="22"/>
          <w:lang w:val="en-GB"/>
        </w:rPr>
        <w:t>more abducted</w:t>
      </w:r>
      <w:r w:rsidR="00640F7D">
        <w:rPr>
          <w:szCs w:val="22"/>
          <w:lang w:val="en-GB"/>
        </w:rPr>
        <w:t xml:space="preserve"> (closer to 90</w:t>
      </w:r>
      <w:r w:rsidR="00640F7D" w:rsidRPr="002E37DE">
        <w:rPr>
          <w:szCs w:val="22"/>
          <w:lang w:val="en-GB"/>
        </w:rPr>
        <w:t>°</w:t>
      </w:r>
      <w:r w:rsidR="00640F7D">
        <w:rPr>
          <w:szCs w:val="22"/>
          <w:lang w:val="en-GB"/>
        </w:rPr>
        <w:t>)</w:t>
      </w:r>
      <w:r w:rsidRPr="002E37DE">
        <w:rPr>
          <w:szCs w:val="22"/>
          <w:lang w:val="en-GB"/>
        </w:rPr>
        <w:t xml:space="preserve">, </w:t>
      </w:r>
      <w:r w:rsidR="00640F7D">
        <w:rPr>
          <w:szCs w:val="22"/>
          <w:lang w:val="en-GB"/>
        </w:rPr>
        <w:t>improving specificity between training and the target skill</w:t>
      </w:r>
      <w:r w:rsidRPr="002E37DE">
        <w:rPr>
          <w:szCs w:val="22"/>
          <w:lang w:val="en-GB"/>
        </w:rPr>
        <w:t xml:space="preserve">. Moreover, improved limb symmetry was presented with the training device. </w:t>
      </w:r>
      <w:r w:rsidR="00640F7D">
        <w:rPr>
          <w:szCs w:val="22"/>
          <w:lang w:val="en-GB"/>
        </w:rPr>
        <w:t xml:space="preserve">Future work could investigate </w:t>
      </w:r>
      <w:r w:rsidRPr="002E37DE">
        <w:rPr>
          <w:szCs w:val="22"/>
          <w:lang w:val="en-GB"/>
        </w:rPr>
        <w:t xml:space="preserve">coordination and musculoskeletal demand </w:t>
      </w:r>
      <w:r w:rsidR="00640F7D">
        <w:rPr>
          <w:szCs w:val="22"/>
          <w:lang w:val="en-GB"/>
        </w:rPr>
        <w:t xml:space="preserve">during the cross when performed on training and competition rings. </w:t>
      </w:r>
      <w:r w:rsidRPr="002E37DE">
        <w:rPr>
          <w:szCs w:val="22"/>
          <w:lang w:val="en-GB"/>
        </w:rPr>
        <w:t xml:space="preserve">In addition, </w:t>
      </w:r>
      <w:r w:rsidR="00640F7D">
        <w:rPr>
          <w:szCs w:val="22"/>
          <w:lang w:val="en-GB"/>
        </w:rPr>
        <w:t xml:space="preserve">it would be useful to consider </w:t>
      </w:r>
      <w:r w:rsidRPr="002E37DE">
        <w:rPr>
          <w:szCs w:val="22"/>
          <w:lang w:val="en-GB"/>
        </w:rPr>
        <w:t xml:space="preserve">the applicability of the findings of this study to other gymnastic groups, </w:t>
      </w:r>
      <w:r w:rsidR="00640F7D">
        <w:rPr>
          <w:szCs w:val="22"/>
          <w:lang w:val="en-GB"/>
        </w:rPr>
        <w:t xml:space="preserve">such </w:t>
      </w:r>
      <w:r w:rsidRPr="002E37DE">
        <w:rPr>
          <w:szCs w:val="22"/>
          <w:lang w:val="en-GB"/>
        </w:rPr>
        <w:t xml:space="preserve">as junior or </w:t>
      </w:r>
      <w:r w:rsidR="00640F7D">
        <w:rPr>
          <w:szCs w:val="22"/>
          <w:lang w:val="en-GB"/>
        </w:rPr>
        <w:t xml:space="preserve">novice gymnasts learning </w:t>
      </w:r>
      <w:bookmarkStart w:id="2" w:name="_GoBack"/>
      <w:bookmarkEnd w:id="2"/>
      <w:r w:rsidRPr="002E37DE">
        <w:rPr>
          <w:szCs w:val="22"/>
          <w:lang w:val="en-GB"/>
        </w:rPr>
        <w:t>the skill</w:t>
      </w:r>
      <w:r w:rsidR="00FC4BCD">
        <w:rPr>
          <w:szCs w:val="22"/>
          <w:lang w:val="en-GB"/>
        </w:rPr>
        <w:t>.</w:t>
      </w:r>
    </w:p>
    <w:p w:rsidR="00FC4BCD" w:rsidRDefault="00FC4BCD">
      <w:pPr>
        <w:rPr>
          <w:szCs w:val="22"/>
          <w:lang w:val="en-GB"/>
        </w:rPr>
      </w:pPr>
    </w:p>
    <w:p w:rsidR="00FC4BCD" w:rsidRPr="0035588F" w:rsidRDefault="00FC4BCD">
      <w:pPr>
        <w:spacing w:before="480"/>
        <w:jc w:val="left"/>
        <w:rPr>
          <w:szCs w:val="20"/>
          <w:lang w:val="en-GB"/>
        </w:rPr>
      </w:pPr>
      <w:r w:rsidRPr="0035588F">
        <w:rPr>
          <w:b/>
          <w:bCs/>
          <w:szCs w:val="20"/>
          <w:lang w:val="en-GB"/>
        </w:rPr>
        <w:lastRenderedPageBreak/>
        <w:t>REFERENCES:</w:t>
      </w:r>
    </w:p>
    <w:p w:rsidR="002E37DE" w:rsidRPr="002E37DE" w:rsidRDefault="002E37DE" w:rsidP="002E37DE">
      <w:pPr>
        <w:spacing w:before="60"/>
        <w:rPr>
          <w:szCs w:val="20"/>
          <w:lang w:val="en-GB"/>
        </w:rPr>
      </w:pPr>
      <w:r w:rsidRPr="002E37DE">
        <w:rPr>
          <w:szCs w:val="20"/>
          <w:lang w:val="en-GB"/>
        </w:rPr>
        <w:t xml:space="preserve">Exell, T. A., Gittoes, M. J. R., Irwin, G., &amp; Kerwin, D. G. (2012). Gait asymmetry: Composite scores for mechanical analyses of sprint running. </w:t>
      </w:r>
      <w:r w:rsidRPr="002E37DE">
        <w:rPr>
          <w:i/>
          <w:szCs w:val="20"/>
          <w:lang w:val="en-GB"/>
        </w:rPr>
        <w:t>Journal of Biomechanics</w:t>
      </w:r>
      <w:r w:rsidRPr="002E37DE">
        <w:rPr>
          <w:szCs w:val="20"/>
          <w:lang w:val="en-GB"/>
        </w:rPr>
        <w:t xml:space="preserve">, 45(6), 1108-1111. </w:t>
      </w:r>
    </w:p>
    <w:p w:rsidR="002E37DE" w:rsidRPr="002E37DE" w:rsidRDefault="002E37DE" w:rsidP="002E37DE">
      <w:pPr>
        <w:spacing w:before="60"/>
        <w:rPr>
          <w:szCs w:val="20"/>
          <w:lang w:val="en-GB"/>
        </w:rPr>
      </w:pPr>
      <w:r w:rsidRPr="002E37DE">
        <w:rPr>
          <w:szCs w:val="20"/>
          <w:lang w:val="en-GB"/>
        </w:rPr>
        <w:t xml:space="preserve">Exell, T. A., Irwin, G., Gittoes, M. J. R., &amp; Kerwin, D. G. (2012). Implications of intra-limb variability on asymmetry analyses. </w:t>
      </w:r>
      <w:r w:rsidRPr="002E37DE">
        <w:rPr>
          <w:i/>
          <w:szCs w:val="20"/>
          <w:lang w:val="en-GB"/>
        </w:rPr>
        <w:t>Journal of Sports Sciences</w:t>
      </w:r>
      <w:r w:rsidRPr="002E37DE">
        <w:rPr>
          <w:szCs w:val="20"/>
          <w:lang w:val="en-GB"/>
        </w:rPr>
        <w:t xml:space="preserve">, 30(4), 403-409. </w:t>
      </w:r>
    </w:p>
    <w:p w:rsidR="002E37DE" w:rsidRPr="002E37DE" w:rsidRDefault="002E37DE" w:rsidP="002E37DE">
      <w:pPr>
        <w:spacing w:before="60"/>
        <w:rPr>
          <w:szCs w:val="20"/>
          <w:lang w:val="en-GB"/>
        </w:rPr>
      </w:pPr>
      <w:r w:rsidRPr="002E37DE">
        <w:rPr>
          <w:szCs w:val="20"/>
          <w:lang w:val="en-GB"/>
        </w:rPr>
        <w:t>Exell, T.A., Irwin. G., Godden, S., and Kerwin, D.G. (2012). Asymmetry analysis of the arm segments during forward handspring on floor. In E. Bradshaw, A. Burnett and P. Hume (Eds.),</w:t>
      </w:r>
      <w:r w:rsidRPr="002E37DE">
        <w:rPr>
          <w:i/>
          <w:szCs w:val="20"/>
          <w:lang w:val="en-GB"/>
        </w:rPr>
        <w:t xml:space="preserve"> XXXth International Symposium on Biomechanics in Sports 2012.</w:t>
      </w:r>
      <w:r w:rsidRPr="002E37DE">
        <w:rPr>
          <w:szCs w:val="20"/>
          <w:lang w:val="en-GB"/>
        </w:rPr>
        <w:t xml:space="preserve"> Melbourne, Australia.</w:t>
      </w:r>
    </w:p>
    <w:p w:rsidR="002E37DE" w:rsidRPr="002E37DE" w:rsidRDefault="002E37DE" w:rsidP="002E37DE">
      <w:pPr>
        <w:spacing w:before="60"/>
        <w:rPr>
          <w:szCs w:val="20"/>
          <w:lang w:val="fr-FR"/>
        </w:rPr>
      </w:pPr>
      <w:r w:rsidRPr="002E37DE">
        <w:rPr>
          <w:szCs w:val="20"/>
          <w:lang w:val="en-GB"/>
        </w:rPr>
        <w:t xml:space="preserve">FIG. (2013). </w:t>
      </w:r>
      <w:r w:rsidRPr="002E37DE">
        <w:rPr>
          <w:i/>
          <w:szCs w:val="20"/>
          <w:lang w:val="en-GB"/>
        </w:rPr>
        <w:t>Code of Points, artistic gymnastics for men</w:t>
      </w:r>
      <w:r w:rsidRPr="002E37DE">
        <w:rPr>
          <w:szCs w:val="20"/>
          <w:lang w:val="en-GB"/>
        </w:rPr>
        <w:t xml:space="preserve">. </w:t>
      </w:r>
      <w:r w:rsidRPr="002E37DE">
        <w:rPr>
          <w:szCs w:val="20"/>
          <w:lang w:val="fr-FR"/>
        </w:rPr>
        <w:t>Lausanne: Fédération International de Gymnastique.</w:t>
      </w:r>
    </w:p>
    <w:p w:rsidR="002E37DE" w:rsidRPr="002E37DE" w:rsidRDefault="002E37DE" w:rsidP="002E37DE">
      <w:pPr>
        <w:spacing w:before="60"/>
        <w:rPr>
          <w:szCs w:val="20"/>
          <w:lang w:val="en-GB"/>
        </w:rPr>
      </w:pPr>
      <w:r w:rsidRPr="002E37DE">
        <w:rPr>
          <w:szCs w:val="20"/>
          <w:lang w:val="en-GB"/>
        </w:rPr>
        <w:t xml:space="preserve">Hedrick, T. L. (2008). Software techniques for two- and three-dimensional kinematic measurements of biological and biomimetic systems. </w:t>
      </w:r>
      <w:r w:rsidRPr="002E37DE">
        <w:rPr>
          <w:i/>
          <w:szCs w:val="20"/>
          <w:lang w:val="en-GB"/>
        </w:rPr>
        <w:t>Bioinspiration &amp; Biomimetics</w:t>
      </w:r>
      <w:r w:rsidRPr="002E37DE">
        <w:rPr>
          <w:szCs w:val="20"/>
          <w:lang w:val="en-GB"/>
        </w:rPr>
        <w:t xml:space="preserve">, 3(3), 034001. </w:t>
      </w:r>
    </w:p>
    <w:p w:rsidR="002E37DE" w:rsidRPr="002E37DE" w:rsidRDefault="002E37DE" w:rsidP="002E37DE">
      <w:pPr>
        <w:spacing w:before="60"/>
        <w:rPr>
          <w:szCs w:val="20"/>
          <w:lang w:val="en-GB"/>
        </w:rPr>
      </w:pPr>
      <w:r w:rsidRPr="002E37DE">
        <w:rPr>
          <w:szCs w:val="20"/>
          <w:lang w:val="en-GB"/>
        </w:rPr>
        <w:t xml:space="preserve">Irwin, G., Bezodis, I. N., &amp; Kerwin, D. G. (2013). Biomechanics for Coaches. In R. Jones &amp; K. Kingston (Eds.), </w:t>
      </w:r>
      <w:r w:rsidRPr="002E37DE">
        <w:rPr>
          <w:i/>
          <w:szCs w:val="20"/>
          <w:lang w:val="en-GB"/>
        </w:rPr>
        <w:t>An introduction to sports coaching</w:t>
      </w:r>
      <w:r w:rsidRPr="002E37DE">
        <w:rPr>
          <w:szCs w:val="20"/>
          <w:lang w:val="en-GB"/>
        </w:rPr>
        <w:t xml:space="preserve"> (pp. 145-160). Abingdon: Routledge.</w:t>
      </w:r>
    </w:p>
    <w:p w:rsidR="002E37DE" w:rsidRPr="002E37DE" w:rsidRDefault="002E37DE" w:rsidP="002E37DE">
      <w:pPr>
        <w:spacing w:before="60"/>
        <w:rPr>
          <w:szCs w:val="20"/>
          <w:lang w:val="en-GB"/>
        </w:rPr>
      </w:pPr>
      <w:r w:rsidRPr="002E37DE">
        <w:rPr>
          <w:szCs w:val="20"/>
          <w:lang w:val="en-GB"/>
        </w:rPr>
        <w:t xml:space="preserve">Irwin, G., &amp; Kerwin, D. G. (2005). Biomechanical similarities of progressions for the longswing on high bar. </w:t>
      </w:r>
      <w:r w:rsidRPr="002E37DE">
        <w:rPr>
          <w:i/>
          <w:szCs w:val="20"/>
          <w:lang w:val="en-GB"/>
        </w:rPr>
        <w:t>Sports biomechanics</w:t>
      </w:r>
      <w:r w:rsidRPr="002E37DE">
        <w:rPr>
          <w:szCs w:val="20"/>
          <w:lang w:val="en-GB"/>
        </w:rPr>
        <w:t>, 4(2), 163-178</w:t>
      </w:r>
      <w:r w:rsidR="00D67AEE">
        <w:rPr>
          <w:szCs w:val="20"/>
          <w:lang w:val="en-GB"/>
        </w:rPr>
        <w:t>.</w:t>
      </w:r>
    </w:p>
    <w:p w:rsidR="002E37DE" w:rsidRPr="002E37DE" w:rsidRDefault="002E37DE" w:rsidP="002E37DE">
      <w:pPr>
        <w:spacing w:before="60"/>
        <w:rPr>
          <w:szCs w:val="20"/>
          <w:lang w:val="en-GB"/>
        </w:rPr>
      </w:pPr>
      <w:r w:rsidRPr="002E37DE">
        <w:rPr>
          <w:szCs w:val="20"/>
          <w:lang w:val="en-GB"/>
        </w:rPr>
        <w:t xml:space="preserve">Irwin, G., &amp; Kerwin, D. G. (2007). Inter-segmental coordination in progressions for the longswing on high bar. </w:t>
      </w:r>
      <w:r w:rsidRPr="002E37DE">
        <w:rPr>
          <w:i/>
          <w:iCs/>
          <w:szCs w:val="20"/>
          <w:lang w:val="en-GB"/>
        </w:rPr>
        <w:t xml:space="preserve">Sports Biomechanics, </w:t>
      </w:r>
      <w:r w:rsidRPr="002E37DE">
        <w:rPr>
          <w:szCs w:val="20"/>
          <w:lang w:val="en-GB"/>
        </w:rPr>
        <w:t xml:space="preserve">6, 131–144. </w:t>
      </w:r>
    </w:p>
    <w:p w:rsidR="002E37DE" w:rsidRPr="002E37DE" w:rsidRDefault="002E37DE" w:rsidP="002E37DE">
      <w:pPr>
        <w:spacing w:before="60"/>
        <w:rPr>
          <w:szCs w:val="20"/>
          <w:lang w:val="en-GB"/>
        </w:rPr>
      </w:pPr>
      <w:r w:rsidRPr="002E37DE">
        <w:rPr>
          <w:szCs w:val="20"/>
          <w:lang w:val="en-GB"/>
        </w:rPr>
        <w:t xml:space="preserve">Rab, G., Petuskey, K., &amp; Bagley, A. (2002). A method for determination of upper extremity kinematics. </w:t>
      </w:r>
      <w:r w:rsidRPr="002E37DE">
        <w:rPr>
          <w:i/>
          <w:szCs w:val="20"/>
          <w:lang w:val="en-GB"/>
        </w:rPr>
        <w:t>Gait &amp; Posture</w:t>
      </w:r>
      <w:r w:rsidR="00D67AEE">
        <w:rPr>
          <w:szCs w:val="20"/>
          <w:lang w:val="en-GB"/>
        </w:rPr>
        <w:t xml:space="preserve">, 15(2), 113-119. </w:t>
      </w:r>
    </w:p>
    <w:p w:rsidR="002E37DE" w:rsidRPr="002E37DE" w:rsidRDefault="002E37DE" w:rsidP="002E37DE">
      <w:pPr>
        <w:spacing w:before="60"/>
        <w:rPr>
          <w:szCs w:val="20"/>
          <w:lang w:val="en-GB"/>
        </w:rPr>
      </w:pPr>
      <w:r w:rsidRPr="002E37DE">
        <w:rPr>
          <w:szCs w:val="20"/>
          <w:lang w:val="en-GB"/>
        </w:rPr>
        <w:t xml:space="preserve">Readhead, L. (1997). </w:t>
      </w:r>
      <w:r w:rsidRPr="002E37DE">
        <w:rPr>
          <w:i/>
          <w:szCs w:val="20"/>
          <w:lang w:val="en-GB"/>
        </w:rPr>
        <w:t>Men's gymnastics coaching manual</w:t>
      </w:r>
      <w:r w:rsidRPr="002E37DE">
        <w:rPr>
          <w:szCs w:val="20"/>
          <w:lang w:val="en-GB"/>
        </w:rPr>
        <w:t>. Marlborough, UK: The Crowood Press.</w:t>
      </w:r>
    </w:p>
    <w:p w:rsidR="002E37DE" w:rsidRPr="002E37DE" w:rsidRDefault="002E37DE" w:rsidP="002E37DE">
      <w:pPr>
        <w:spacing w:before="60"/>
        <w:rPr>
          <w:szCs w:val="20"/>
          <w:lang w:val="en-GB"/>
        </w:rPr>
      </w:pPr>
      <w:r w:rsidRPr="002E37DE">
        <w:rPr>
          <w:szCs w:val="20"/>
          <w:lang w:val="en-GB"/>
        </w:rPr>
        <w:t xml:space="preserve">Winter, D. A. (2009). </w:t>
      </w:r>
      <w:r w:rsidRPr="002E37DE">
        <w:rPr>
          <w:i/>
          <w:szCs w:val="20"/>
          <w:lang w:val="en-GB"/>
        </w:rPr>
        <w:t>Biomechanics and Motor Control of Human Movement</w:t>
      </w:r>
      <w:r w:rsidRPr="002E37DE">
        <w:rPr>
          <w:szCs w:val="20"/>
          <w:lang w:val="en-GB"/>
        </w:rPr>
        <w:t xml:space="preserve"> (Vol. 4th). Hoboken, NJ: John Wiley and Sons, Inc.</w:t>
      </w:r>
    </w:p>
    <w:p w:rsidR="00FC4BCD" w:rsidRPr="0035588F" w:rsidRDefault="002E37DE" w:rsidP="002E37DE">
      <w:pPr>
        <w:spacing w:before="60"/>
        <w:rPr>
          <w:i/>
          <w:iCs/>
          <w:szCs w:val="20"/>
          <w:lang w:val="en-GB"/>
        </w:rPr>
      </w:pPr>
      <w:r w:rsidRPr="002E37DE">
        <w:rPr>
          <w:szCs w:val="20"/>
          <w:lang w:val="en-GB"/>
        </w:rPr>
        <w:t xml:space="preserve">Zifchock, R. A., Davis, I., Higginson, J., &amp; Royer, T. (2008). The symmetry angle: a novel robust method of quantifying asymmetry. </w:t>
      </w:r>
      <w:r w:rsidRPr="002E37DE">
        <w:rPr>
          <w:i/>
          <w:szCs w:val="20"/>
          <w:lang w:val="en-GB"/>
        </w:rPr>
        <w:t>Gait and Posture</w:t>
      </w:r>
      <w:r w:rsidR="00D67AEE">
        <w:rPr>
          <w:szCs w:val="20"/>
          <w:lang w:val="en-GB"/>
        </w:rPr>
        <w:t>, 27(4), 622–627.</w:t>
      </w:r>
    </w:p>
    <w:p w:rsidR="00FC4BCD" w:rsidRPr="0035588F" w:rsidRDefault="00FC4BCD">
      <w:pPr>
        <w:spacing w:before="480" w:after="60"/>
        <w:jc w:val="left"/>
        <w:rPr>
          <w:szCs w:val="20"/>
          <w:lang w:val="en-GB"/>
        </w:rPr>
      </w:pPr>
      <w:r w:rsidRPr="0035588F">
        <w:rPr>
          <w:i/>
          <w:iCs/>
          <w:szCs w:val="20"/>
          <w:lang w:val="en-GB"/>
        </w:rPr>
        <w:t>Acknowledgement</w:t>
      </w:r>
    </w:p>
    <w:p w:rsidR="000A686F" w:rsidRPr="00D356A2" w:rsidRDefault="00B2358F" w:rsidP="00D356A2">
      <w:pPr>
        <w:spacing w:after="60"/>
        <w:rPr>
          <w:szCs w:val="20"/>
          <w:lang w:val="en-GB"/>
        </w:rPr>
      </w:pPr>
      <w:r>
        <w:rPr>
          <w:szCs w:val="20"/>
          <w:lang w:val="en-GB"/>
        </w:rPr>
        <w:t>T</w:t>
      </w:r>
      <w:r w:rsidRPr="00B2358F">
        <w:rPr>
          <w:szCs w:val="20"/>
        </w:rPr>
        <w:t xml:space="preserve">his research was supported by CNPq / CAPES. The authors would like to thank Dr. Scott Selbie from C-motion, Robson Cassefo from Apamed, CIAA </w:t>
      </w:r>
      <w:r w:rsidR="00D67AEE">
        <w:rPr>
          <w:szCs w:val="20"/>
        </w:rPr>
        <w:t xml:space="preserve">- </w:t>
      </w:r>
      <w:r w:rsidRPr="00B2358F">
        <w:rPr>
          <w:szCs w:val="20"/>
        </w:rPr>
        <w:t xml:space="preserve">Esporte Clube Pinheiros, Agith </w:t>
      </w:r>
      <w:r w:rsidR="00D67AEE">
        <w:rPr>
          <w:szCs w:val="20"/>
        </w:rPr>
        <w:t xml:space="preserve">- </w:t>
      </w:r>
      <w:r w:rsidRPr="00B2358F">
        <w:rPr>
          <w:szCs w:val="20"/>
        </w:rPr>
        <w:t>S</w:t>
      </w:r>
      <w:r w:rsidRPr="00B2358F">
        <w:rPr>
          <w:szCs w:val="20"/>
          <w:lang w:val="en-GB"/>
        </w:rPr>
        <w:t>ão Caetano for their assistance and help in this research</w:t>
      </w:r>
      <w:r w:rsidR="00FC4BCD" w:rsidRPr="0035588F">
        <w:rPr>
          <w:szCs w:val="20"/>
          <w:lang w:val="en-GB"/>
        </w:rPr>
        <w:t>.</w:t>
      </w:r>
    </w:p>
    <w:sectPr w:rsidR="000A686F" w:rsidRPr="00D356A2" w:rsidSect="00DF5C08">
      <w:pgSz w:w="11906" w:h="16838"/>
      <w:pgMar w:top="1931" w:right="1418" w:bottom="1418" w:left="1418" w:header="141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037" w:rsidRDefault="003B1037">
      <w:r>
        <w:separator/>
      </w:r>
    </w:p>
  </w:endnote>
  <w:endnote w:type="continuationSeparator" w:id="0">
    <w:p w:rsidR="003B1037" w:rsidRDefault="003B103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037" w:rsidRDefault="003B1037">
      <w:r>
        <w:separator/>
      </w:r>
    </w:p>
  </w:footnote>
  <w:footnote w:type="continuationSeparator" w:id="0">
    <w:p w:rsidR="003B1037" w:rsidRDefault="003B10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360" w:hanging="360"/>
      </w:pPr>
      <w:rPr>
        <w:rFonts w:ascii="Arial" w:hAnsi="Arial" w:cs="Arial"/>
        <w:color w:val="000000"/>
        <w:sz w:val="21"/>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90412A6"/>
    <w:multiLevelType w:val="multilevel"/>
    <w:tmpl w:val="47A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0D7F89"/>
    <w:multiLevelType w:val="multilevel"/>
    <w:tmpl w:val="F368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956191"/>
    <w:multiLevelType w:val="multilevel"/>
    <w:tmpl w:val="87CE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AA58AA"/>
    <w:multiLevelType w:val="multilevel"/>
    <w:tmpl w:val="8208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207EC5"/>
    <w:rsid w:val="0003198F"/>
    <w:rsid w:val="0003765B"/>
    <w:rsid w:val="00096C03"/>
    <w:rsid w:val="000A686F"/>
    <w:rsid w:val="001430B1"/>
    <w:rsid w:val="001B36F0"/>
    <w:rsid w:val="001D1E19"/>
    <w:rsid w:val="001D5509"/>
    <w:rsid w:val="00207EC5"/>
    <w:rsid w:val="00251C8C"/>
    <w:rsid w:val="002C03C1"/>
    <w:rsid w:val="002C4C31"/>
    <w:rsid w:val="002C4FC6"/>
    <w:rsid w:val="002E37DE"/>
    <w:rsid w:val="0032224B"/>
    <w:rsid w:val="003462F1"/>
    <w:rsid w:val="00346C4B"/>
    <w:rsid w:val="0035588F"/>
    <w:rsid w:val="00392AE8"/>
    <w:rsid w:val="003B1037"/>
    <w:rsid w:val="003F01C1"/>
    <w:rsid w:val="004158A1"/>
    <w:rsid w:val="00424506"/>
    <w:rsid w:val="00456612"/>
    <w:rsid w:val="00472974"/>
    <w:rsid w:val="004B1F1D"/>
    <w:rsid w:val="004B2E3E"/>
    <w:rsid w:val="0053505E"/>
    <w:rsid w:val="0058695F"/>
    <w:rsid w:val="00640F7D"/>
    <w:rsid w:val="00641D6A"/>
    <w:rsid w:val="00660013"/>
    <w:rsid w:val="006E13BE"/>
    <w:rsid w:val="007405D1"/>
    <w:rsid w:val="00784A4E"/>
    <w:rsid w:val="007B0705"/>
    <w:rsid w:val="00803068"/>
    <w:rsid w:val="00840CFE"/>
    <w:rsid w:val="008B1B88"/>
    <w:rsid w:val="008F20D1"/>
    <w:rsid w:val="00913247"/>
    <w:rsid w:val="009D20EE"/>
    <w:rsid w:val="00A0292B"/>
    <w:rsid w:val="00B02353"/>
    <w:rsid w:val="00B2358F"/>
    <w:rsid w:val="00B36784"/>
    <w:rsid w:val="00B549DE"/>
    <w:rsid w:val="00B55992"/>
    <w:rsid w:val="00B7782D"/>
    <w:rsid w:val="00BC76D7"/>
    <w:rsid w:val="00C02726"/>
    <w:rsid w:val="00C1240B"/>
    <w:rsid w:val="00C45A13"/>
    <w:rsid w:val="00C5199E"/>
    <w:rsid w:val="00CD22E5"/>
    <w:rsid w:val="00D356A2"/>
    <w:rsid w:val="00D67AEE"/>
    <w:rsid w:val="00DC4817"/>
    <w:rsid w:val="00DD2FCB"/>
    <w:rsid w:val="00DE68A5"/>
    <w:rsid w:val="00DF2FF8"/>
    <w:rsid w:val="00DF5C08"/>
    <w:rsid w:val="00E51D0F"/>
    <w:rsid w:val="00ED0984"/>
    <w:rsid w:val="00EF1AB2"/>
    <w:rsid w:val="00F1042F"/>
    <w:rsid w:val="00F32669"/>
    <w:rsid w:val="00F419EF"/>
    <w:rsid w:val="00FC26B2"/>
    <w:rsid w:val="00FC4BCD"/>
    <w:rsid w:val="00FE5C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C08"/>
    <w:pPr>
      <w:suppressAutoHyphens/>
      <w:jc w:val="both"/>
    </w:pPr>
    <w:rPr>
      <w:rFonts w:ascii="Arial" w:eastAsia="Batang" w:hAnsi="Arial" w:cs="Arial"/>
      <w:sz w:val="22"/>
      <w:szCs w:val="24"/>
      <w:lang w:val="de-AT"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DF5C08"/>
    <w:rPr>
      <w:rFonts w:ascii="Arial" w:hAnsi="Arial" w:cs="Arial"/>
      <w:color w:val="000000"/>
      <w:sz w:val="21"/>
    </w:rPr>
  </w:style>
  <w:style w:type="character" w:customStyle="1" w:styleId="WW8Num1z1">
    <w:name w:val="WW8Num1z1"/>
    <w:rsid w:val="00DF5C08"/>
  </w:style>
  <w:style w:type="character" w:customStyle="1" w:styleId="WW8Num1z2">
    <w:name w:val="WW8Num1z2"/>
    <w:rsid w:val="00DF5C08"/>
  </w:style>
  <w:style w:type="character" w:customStyle="1" w:styleId="WW8Num1z3">
    <w:name w:val="WW8Num1z3"/>
    <w:rsid w:val="00DF5C08"/>
  </w:style>
  <w:style w:type="character" w:customStyle="1" w:styleId="WW8Num1z4">
    <w:name w:val="WW8Num1z4"/>
    <w:rsid w:val="00DF5C08"/>
  </w:style>
  <w:style w:type="character" w:customStyle="1" w:styleId="WW8Num1z5">
    <w:name w:val="WW8Num1z5"/>
    <w:rsid w:val="00DF5C08"/>
  </w:style>
  <w:style w:type="character" w:customStyle="1" w:styleId="WW8Num1z6">
    <w:name w:val="WW8Num1z6"/>
    <w:rsid w:val="00DF5C08"/>
  </w:style>
  <w:style w:type="character" w:customStyle="1" w:styleId="WW8Num1z7">
    <w:name w:val="WW8Num1z7"/>
    <w:rsid w:val="00DF5C08"/>
  </w:style>
  <w:style w:type="character" w:customStyle="1" w:styleId="WW8Num1z8">
    <w:name w:val="WW8Num1z8"/>
    <w:rsid w:val="00DF5C08"/>
  </w:style>
  <w:style w:type="character" w:customStyle="1" w:styleId="WW8Num2z0">
    <w:name w:val="WW8Num2z0"/>
    <w:rsid w:val="00DF5C08"/>
    <w:rPr>
      <w:rFonts w:ascii="Calibri" w:hAnsi="Calibri" w:cs="Calibri"/>
      <w:b w:val="0"/>
      <w:color w:val="000000"/>
      <w:sz w:val="22"/>
    </w:rPr>
  </w:style>
  <w:style w:type="character" w:customStyle="1" w:styleId="WW8Num2z1">
    <w:name w:val="WW8Num2z1"/>
    <w:rsid w:val="00DF5C08"/>
  </w:style>
  <w:style w:type="character" w:customStyle="1" w:styleId="WW8Num2z2">
    <w:name w:val="WW8Num2z2"/>
    <w:rsid w:val="00DF5C08"/>
  </w:style>
  <w:style w:type="character" w:customStyle="1" w:styleId="WW8Num2z3">
    <w:name w:val="WW8Num2z3"/>
    <w:rsid w:val="00DF5C08"/>
  </w:style>
  <w:style w:type="character" w:customStyle="1" w:styleId="WW8Num2z4">
    <w:name w:val="WW8Num2z4"/>
    <w:rsid w:val="00DF5C08"/>
  </w:style>
  <w:style w:type="character" w:customStyle="1" w:styleId="WW8Num2z5">
    <w:name w:val="WW8Num2z5"/>
    <w:rsid w:val="00DF5C08"/>
  </w:style>
  <w:style w:type="character" w:customStyle="1" w:styleId="WW8Num2z6">
    <w:name w:val="WW8Num2z6"/>
    <w:rsid w:val="00DF5C08"/>
  </w:style>
  <w:style w:type="character" w:customStyle="1" w:styleId="WW8Num2z7">
    <w:name w:val="WW8Num2z7"/>
    <w:rsid w:val="00DF5C08"/>
  </w:style>
  <w:style w:type="character" w:customStyle="1" w:styleId="WW8Num2z8">
    <w:name w:val="WW8Num2z8"/>
    <w:rsid w:val="00DF5C08"/>
  </w:style>
  <w:style w:type="character" w:customStyle="1" w:styleId="Fontepargpadro1">
    <w:name w:val="Fonte parág. padrão1"/>
    <w:rsid w:val="00DF5C08"/>
  </w:style>
  <w:style w:type="character" w:customStyle="1" w:styleId="FormatvorlageArial10ptDunkelblau">
    <w:name w:val="Formatvorlage Arial 10 pt Dunkelblau"/>
    <w:rsid w:val="00DF5C08"/>
    <w:rPr>
      <w:rFonts w:ascii="Arial" w:hAnsi="Arial" w:cs="Arial"/>
      <w:color w:val="auto"/>
      <w:sz w:val="20"/>
    </w:rPr>
  </w:style>
  <w:style w:type="character" w:customStyle="1" w:styleId="FormatvorlageFormatvorlageArial10ptDunkelblauDunkelblau">
    <w:name w:val="Formatvorlage Formatvorlage Arial 10 pt Dunkelblau + Dunkelblau"/>
    <w:rsid w:val="00DF5C08"/>
    <w:rPr>
      <w:rFonts w:ascii="Arial" w:hAnsi="Arial" w:cs="Arial"/>
      <w:color w:val="auto"/>
      <w:sz w:val="20"/>
      <w:szCs w:val="20"/>
    </w:rPr>
  </w:style>
  <w:style w:type="character" w:styleId="Forte">
    <w:name w:val="Strong"/>
    <w:qFormat/>
    <w:rsid w:val="00DF5C08"/>
    <w:rPr>
      <w:b/>
      <w:bCs/>
    </w:rPr>
  </w:style>
  <w:style w:type="character" w:styleId="nfase">
    <w:name w:val="Emphasis"/>
    <w:qFormat/>
    <w:rsid w:val="00DF5C08"/>
    <w:rPr>
      <w:i/>
      <w:iCs/>
    </w:rPr>
  </w:style>
  <w:style w:type="character" w:customStyle="1" w:styleId="HeaderChar">
    <w:name w:val="Header Char"/>
    <w:rsid w:val="00DF5C08"/>
    <w:rPr>
      <w:rFonts w:ascii="Arial" w:hAnsi="Arial" w:cs="Arial"/>
      <w:lang w:val="de-AT"/>
    </w:rPr>
  </w:style>
  <w:style w:type="character" w:customStyle="1" w:styleId="FooterChar">
    <w:name w:val="Footer Char"/>
    <w:rsid w:val="00DF5C08"/>
    <w:rPr>
      <w:rFonts w:ascii="Arial" w:hAnsi="Arial" w:cs="Arial"/>
      <w:lang w:val="de-AT"/>
    </w:rPr>
  </w:style>
  <w:style w:type="character" w:styleId="Hyperlink">
    <w:name w:val="Hyperlink"/>
    <w:rsid w:val="00DF5C08"/>
    <w:rPr>
      <w:color w:val="000080"/>
      <w:u w:val="single"/>
    </w:rPr>
  </w:style>
  <w:style w:type="paragraph" w:customStyle="1" w:styleId="Titre1">
    <w:name w:val="Titre1"/>
    <w:basedOn w:val="Normal"/>
    <w:next w:val="Corpodetexto"/>
    <w:rsid w:val="00DF5C08"/>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DF5C08"/>
    <w:pPr>
      <w:spacing w:after="140" w:line="288" w:lineRule="auto"/>
    </w:pPr>
  </w:style>
  <w:style w:type="paragraph" w:styleId="Lista">
    <w:name w:val="List"/>
    <w:basedOn w:val="Corpodetexto"/>
    <w:rsid w:val="00DF5C08"/>
    <w:rPr>
      <w:rFonts w:cs="FreeSans"/>
    </w:rPr>
  </w:style>
  <w:style w:type="paragraph" w:styleId="Legenda">
    <w:name w:val="caption"/>
    <w:basedOn w:val="Normal"/>
    <w:qFormat/>
    <w:rsid w:val="00DF5C08"/>
    <w:pPr>
      <w:suppressLineNumbers/>
      <w:spacing w:before="120" w:after="120"/>
    </w:pPr>
    <w:rPr>
      <w:rFonts w:cs="FreeSans"/>
      <w:i/>
      <w:iCs/>
      <w:sz w:val="24"/>
    </w:rPr>
  </w:style>
  <w:style w:type="paragraph" w:customStyle="1" w:styleId="Index">
    <w:name w:val="Index"/>
    <w:basedOn w:val="Normal"/>
    <w:rsid w:val="00DF5C08"/>
    <w:pPr>
      <w:suppressLineNumbers/>
    </w:pPr>
    <w:rPr>
      <w:rFonts w:cs="FreeSans"/>
    </w:rPr>
  </w:style>
  <w:style w:type="paragraph" w:styleId="NormalWeb">
    <w:name w:val="Normal (Web)"/>
    <w:basedOn w:val="Normal"/>
    <w:uiPriority w:val="99"/>
    <w:rsid w:val="00DF5C08"/>
    <w:pPr>
      <w:spacing w:before="280" w:after="280"/>
      <w:jc w:val="left"/>
    </w:pPr>
    <w:rPr>
      <w:sz w:val="20"/>
      <w:szCs w:val="20"/>
    </w:rPr>
  </w:style>
  <w:style w:type="paragraph" w:customStyle="1" w:styleId="Textodebalo1">
    <w:name w:val="Texto de balão1"/>
    <w:basedOn w:val="Normal"/>
    <w:rsid w:val="00DF5C08"/>
    <w:rPr>
      <w:rFonts w:ascii="Tahoma" w:hAnsi="Tahoma" w:cs="Tahoma"/>
      <w:sz w:val="16"/>
      <w:szCs w:val="16"/>
    </w:rPr>
  </w:style>
  <w:style w:type="paragraph" w:styleId="Cabealho">
    <w:name w:val="header"/>
    <w:basedOn w:val="Normal"/>
    <w:rsid w:val="00DF5C08"/>
    <w:pPr>
      <w:tabs>
        <w:tab w:val="center" w:pos="4153"/>
        <w:tab w:val="right" w:pos="8306"/>
      </w:tabs>
      <w:snapToGrid w:val="0"/>
    </w:pPr>
    <w:rPr>
      <w:sz w:val="20"/>
      <w:szCs w:val="20"/>
    </w:rPr>
  </w:style>
  <w:style w:type="paragraph" w:styleId="Rodap">
    <w:name w:val="footer"/>
    <w:basedOn w:val="Normal"/>
    <w:rsid w:val="00DF5C08"/>
    <w:pPr>
      <w:tabs>
        <w:tab w:val="center" w:pos="4153"/>
        <w:tab w:val="right" w:pos="8306"/>
      </w:tabs>
      <w:snapToGrid w:val="0"/>
    </w:pPr>
    <w:rPr>
      <w:sz w:val="20"/>
      <w:szCs w:val="20"/>
    </w:rPr>
  </w:style>
  <w:style w:type="paragraph" w:customStyle="1" w:styleId="PargrafodaLista1">
    <w:name w:val="Parágrafo da Lista1"/>
    <w:basedOn w:val="Normal"/>
    <w:rsid w:val="00DF5C08"/>
    <w:pPr>
      <w:widowControl w:val="0"/>
      <w:spacing w:line="400" w:lineRule="exact"/>
      <w:ind w:left="480"/>
    </w:pPr>
    <w:rPr>
      <w:rFonts w:ascii="Calibri" w:eastAsia="PMingLiU" w:hAnsi="Calibri" w:cs="Times New Roman"/>
      <w:kern w:val="1"/>
      <w:sz w:val="24"/>
      <w:szCs w:val="22"/>
      <w:lang w:val="en-US" w:eastAsia="zh-TW"/>
    </w:rPr>
  </w:style>
  <w:style w:type="paragraph" w:customStyle="1" w:styleId="Contenudetableau">
    <w:name w:val="Contenu de tableau"/>
    <w:basedOn w:val="Normal"/>
    <w:rsid w:val="00DF5C08"/>
    <w:pPr>
      <w:suppressLineNumbers/>
    </w:pPr>
  </w:style>
  <w:style w:type="paragraph" w:customStyle="1" w:styleId="Titredetableau">
    <w:name w:val="Titre de tableau"/>
    <w:basedOn w:val="Contenudetableau"/>
    <w:rsid w:val="00DF5C08"/>
    <w:pPr>
      <w:jc w:val="center"/>
    </w:pPr>
    <w:rPr>
      <w:b/>
      <w:bCs/>
    </w:rPr>
  </w:style>
  <w:style w:type="paragraph" w:styleId="Textodecomentrio">
    <w:name w:val="annotation text"/>
    <w:basedOn w:val="Normal"/>
    <w:link w:val="TextodecomentrioChar"/>
    <w:uiPriority w:val="99"/>
    <w:semiHidden/>
    <w:unhideWhenUsed/>
    <w:rsid w:val="002E37DE"/>
    <w:rPr>
      <w:sz w:val="20"/>
      <w:szCs w:val="20"/>
    </w:rPr>
  </w:style>
  <w:style w:type="character" w:customStyle="1" w:styleId="TextodecomentrioChar">
    <w:name w:val="Texto de comentário Char"/>
    <w:basedOn w:val="Fontepargpadro"/>
    <w:link w:val="Textodecomentrio"/>
    <w:uiPriority w:val="99"/>
    <w:semiHidden/>
    <w:rsid w:val="002E37DE"/>
    <w:rPr>
      <w:rFonts w:ascii="Arial" w:eastAsia="Batang" w:hAnsi="Arial" w:cs="Arial"/>
      <w:lang w:val="de-AT" w:eastAsia="zh-CN"/>
    </w:rPr>
  </w:style>
  <w:style w:type="character" w:styleId="Refdecomentrio">
    <w:name w:val="annotation reference"/>
    <w:basedOn w:val="Fontepargpadro"/>
    <w:semiHidden/>
    <w:rsid w:val="002E37DE"/>
    <w:rPr>
      <w:sz w:val="16"/>
      <w:szCs w:val="16"/>
    </w:rPr>
  </w:style>
  <w:style w:type="paragraph" w:styleId="Textodebalo">
    <w:name w:val="Balloon Text"/>
    <w:basedOn w:val="Normal"/>
    <w:link w:val="TextodebaloChar"/>
    <w:uiPriority w:val="99"/>
    <w:semiHidden/>
    <w:unhideWhenUsed/>
    <w:rsid w:val="002E37DE"/>
    <w:rPr>
      <w:rFonts w:ascii="Tahoma" w:hAnsi="Tahoma" w:cs="Tahoma"/>
      <w:sz w:val="16"/>
      <w:szCs w:val="16"/>
    </w:rPr>
  </w:style>
  <w:style w:type="character" w:customStyle="1" w:styleId="TextodebaloChar">
    <w:name w:val="Texto de balão Char"/>
    <w:basedOn w:val="Fontepargpadro"/>
    <w:link w:val="Textodebalo"/>
    <w:uiPriority w:val="99"/>
    <w:semiHidden/>
    <w:rsid w:val="002E37DE"/>
    <w:rPr>
      <w:rFonts w:ascii="Tahoma" w:eastAsia="Batang" w:hAnsi="Tahoma" w:cs="Tahoma"/>
      <w:sz w:val="16"/>
      <w:szCs w:val="16"/>
      <w:lang w:val="de-AT" w:eastAsia="zh-CN"/>
    </w:rPr>
  </w:style>
  <w:style w:type="character" w:customStyle="1" w:styleId="evalreviewer">
    <w:name w:val="eval_reviewer"/>
    <w:basedOn w:val="Fontepargpadro"/>
    <w:rsid w:val="000A686F"/>
  </w:style>
  <w:style w:type="character" w:customStyle="1" w:styleId="evaldate">
    <w:name w:val="eval_date"/>
    <w:basedOn w:val="Fontepargpadro"/>
    <w:rsid w:val="000A686F"/>
  </w:style>
  <w:style w:type="character" w:customStyle="1" w:styleId="evalcrittitle">
    <w:name w:val="eval_crit_title"/>
    <w:basedOn w:val="Fontepargpadro"/>
    <w:rsid w:val="000A686F"/>
  </w:style>
  <w:style w:type="character" w:customStyle="1" w:styleId="evalcritvalue">
    <w:name w:val="eval_crit_value"/>
    <w:basedOn w:val="Fontepargpadro"/>
    <w:rsid w:val="000A686F"/>
  </w:style>
  <w:style w:type="paragraph" w:styleId="Assuntodocomentrio">
    <w:name w:val="annotation subject"/>
    <w:basedOn w:val="Textodecomentrio"/>
    <w:next w:val="Textodecomentrio"/>
    <w:link w:val="AssuntodocomentrioChar"/>
    <w:uiPriority w:val="99"/>
    <w:semiHidden/>
    <w:unhideWhenUsed/>
    <w:rsid w:val="0003198F"/>
    <w:rPr>
      <w:b/>
      <w:bCs/>
    </w:rPr>
  </w:style>
  <w:style w:type="character" w:customStyle="1" w:styleId="AssuntodocomentrioChar">
    <w:name w:val="Assunto do comentário Char"/>
    <w:basedOn w:val="TextodecomentrioChar"/>
    <w:link w:val="Assuntodocomentrio"/>
    <w:uiPriority w:val="99"/>
    <w:semiHidden/>
    <w:rsid w:val="0003198F"/>
    <w:rPr>
      <w:rFonts w:ascii="Arial" w:eastAsia="Batang" w:hAnsi="Arial" w:cs="Arial"/>
      <w:b/>
      <w:bCs/>
      <w:lang w:val="de-AT"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4159703">
      <w:bodyDiv w:val="1"/>
      <w:marLeft w:val="0"/>
      <w:marRight w:val="0"/>
      <w:marTop w:val="0"/>
      <w:marBottom w:val="0"/>
      <w:divBdr>
        <w:top w:val="none" w:sz="0" w:space="0" w:color="auto"/>
        <w:left w:val="none" w:sz="0" w:space="0" w:color="auto"/>
        <w:bottom w:val="none" w:sz="0" w:space="0" w:color="auto"/>
        <w:right w:val="none" w:sz="0" w:space="0" w:color="auto"/>
      </w:divBdr>
    </w:div>
    <w:div w:id="208714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2327</TotalTime>
  <Pages>4</Pages>
  <Words>1774</Words>
  <Characters>10112</Characters>
  <Application>Microsoft Office Word</Application>
  <DocSecurity>0</DocSecurity>
  <Lines>84</Lines>
  <Paragraphs>23</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A FICTITIOUS STUDY ON HOW TO HAVE YOUR ISBS 200X PAPER ACCEPTED</vt:lpstr>
    </vt:vector>
  </TitlesOfParts>
  <Company>Case Western Reserve University</Company>
  <LinksUpToDate>false</LinksUpToDate>
  <CharactersWithSpaces>11863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PDSC</dc:creator>
  <cp:lastModifiedBy>PDSC</cp:lastModifiedBy>
  <cp:revision>12</cp:revision>
  <cp:lastPrinted>2015-04-15T15:11:00Z</cp:lastPrinted>
  <dcterms:created xsi:type="dcterms:W3CDTF">2015-04-13T18:19:00Z</dcterms:created>
  <dcterms:modified xsi:type="dcterms:W3CDTF">2015-04-15T16:17:00Z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